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40" w:lineRule="exact"/>
        <w:jc w:val="center"/>
        <w:rPr>
          <w:rFonts w:ascii="宋体" w:hAnsi="宋体" w:eastAsia="宋体" w:cs="宋体"/>
          <w:sz w:val="44"/>
          <w:szCs w:val="44"/>
        </w:rPr>
      </w:pPr>
    </w:p>
    <w:p>
      <w:pPr>
        <w:spacing w:line="540" w:lineRule="exact"/>
        <w:jc w:val="center"/>
        <w:rPr>
          <w:rFonts w:ascii="宋体" w:hAnsi="宋体" w:eastAsia="宋体" w:cs="宋体"/>
          <w:sz w:val="44"/>
          <w:szCs w:val="44"/>
        </w:rPr>
      </w:pPr>
    </w:p>
    <w:p>
      <w:pPr>
        <w:spacing w:line="540" w:lineRule="exact"/>
        <w:jc w:val="center"/>
        <w:rPr>
          <w:rFonts w:ascii="宋体" w:hAnsi="宋体" w:eastAsia="宋体" w:cs="宋体"/>
          <w:sz w:val="44"/>
          <w:szCs w:val="44"/>
        </w:rPr>
      </w:pPr>
    </w:p>
    <w:p>
      <w:pPr>
        <w:spacing w:line="540" w:lineRule="exact"/>
        <w:jc w:val="center"/>
        <w:rPr>
          <w:rFonts w:ascii="宋体" w:hAnsi="宋体" w:eastAsia="宋体" w:cs="宋体"/>
          <w:sz w:val="44"/>
          <w:szCs w:val="44"/>
        </w:rPr>
      </w:pPr>
    </w:p>
    <w:p>
      <w:pPr>
        <w:spacing w:line="540" w:lineRule="exact"/>
        <w:rPr>
          <w:rFonts w:ascii="宋体" w:hAnsi="宋体" w:eastAsia="宋体" w:cs="宋体"/>
          <w:sz w:val="44"/>
          <w:szCs w:val="44"/>
        </w:rPr>
      </w:pPr>
    </w:p>
    <w:p>
      <w:pPr>
        <w:spacing w:line="540" w:lineRule="exact"/>
        <w:rPr>
          <w:rFonts w:ascii="宋体" w:hAnsi="宋体" w:eastAsia="宋体" w:cs="宋体"/>
          <w:sz w:val="44"/>
          <w:szCs w:val="44"/>
        </w:rPr>
      </w:pPr>
    </w:p>
    <w:p>
      <w:pPr>
        <w:spacing w:line="540" w:lineRule="exact"/>
        <w:rPr>
          <w:rFonts w:ascii="宋体" w:hAnsi="宋体" w:eastAsia="宋体" w:cs="宋体"/>
          <w:sz w:val="44"/>
          <w:szCs w:val="44"/>
        </w:rPr>
      </w:pPr>
    </w:p>
    <w:p>
      <w:pPr>
        <w:keepNext w:val="0"/>
        <w:keepLines w:val="0"/>
        <w:pageBreakBefore w:val="0"/>
        <w:widowControl w:val="0"/>
        <w:kinsoku/>
        <w:wordWrap/>
        <w:overflowPunct/>
        <w:topLinePunct w:val="0"/>
        <w:autoSpaceDE/>
        <w:autoSpaceDN/>
        <w:bidi w:val="0"/>
        <w:adjustRightInd/>
        <w:snapToGrid/>
        <w:spacing w:before="157" w:beforeLines="50" w:line="360" w:lineRule="auto"/>
        <w:jc w:val="center"/>
        <w:textAlignment w:val="auto"/>
        <w:rPr>
          <w:rFonts w:ascii="宋体" w:hAnsi="宋体" w:cs="宋体"/>
          <w:b/>
          <w:bCs/>
          <w:sz w:val="32"/>
          <w:szCs w:val="32"/>
        </w:rPr>
      </w:pPr>
      <w:r>
        <w:rPr>
          <w:rFonts w:hint="eastAsia" w:ascii="宋体" w:hAnsi="宋体" w:eastAsia="宋体" w:cs="宋体"/>
          <w:b/>
          <w:bCs/>
          <w:sz w:val="32"/>
          <w:szCs w:val="32"/>
        </w:rPr>
        <w:t>湘学前学会［20</w:t>
      </w:r>
      <w:r>
        <w:rPr>
          <w:rFonts w:hint="eastAsia" w:ascii="宋体" w:hAnsi="宋体" w:cs="宋体"/>
          <w:b/>
          <w:bCs/>
          <w:sz w:val="32"/>
          <w:szCs w:val="32"/>
          <w:lang w:val="en-US" w:eastAsia="zh-CN"/>
        </w:rPr>
        <w:t>21</w:t>
      </w:r>
      <w:r>
        <w:rPr>
          <w:rFonts w:hint="eastAsia" w:ascii="宋体" w:hAnsi="宋体" w:eastAsia="宋体" w:cs="宋体"/>
          <w:b/>
          <w:bCs/>
          <w:sz w:val="32"/>
          <w:szCs w:val="32"/>
        </w:rPr>
        <w:t>］</w:t>
      </w:r>
      <w:r>
        <w:rPr>
          <w:rFonts w:hint="eastAsia" w:ascii="宋体" w:hAnsi="宋体" w:eastAsia="宋体" w:cs="宋体"/>
          <w:b/>
          <w:bCs/>
          <w:sz w:val="32"/>
          <w:szCs w:val="32"/>
          <w:lang w:val="en-US" w:eastAsia="zh-CN"/>
        </w:rPr>
        <w:t xml:space="preserve"> 14</w:t>
      </w:r>
      <w:r>
        <w:rPr>
          <w:rFonts w:hint="eastAsia" w:ascii="宋体" w:hAnsi="宋体" w:cs="宋体"/>
          <w:b/>
          <w:bCs/>
          <w:sz w:val="32"/>
          <w:szCs w:val="32"/>
        </w:rPr>
        <w:t xml:space="preserve"> </w:t>
      </w:r>
      <w:r>
        <w:rPr>
          <w:rFonts w:hint="eastAsia" w:ascii="宋体" w:hAnsi="宋体" w:eastAsia="宋体" w:cs="宋体"/>
          <w:b/>
          <w:bCs/>
          <w:sz w:val="32"/>
          <w:szCs w:val="32"/>
        </w:rPr>
        <w:t>号</w:t>
      </w:r>
    </w:p>
    <w:p>
      <w:pPr>
        <w:spacing w:after="312" w:afterLines="100"/>
        <w:jc w:val="both"/>
        <w:rPr>
          <w:rFonts w:asciiTheme="minorEastAsia" w:hAnsiTheme="minorEastAsia" w:cstheme="minorEastAsia"/>
          <w:b/>
          <w:bCs/>
          <w:sz w:val="32"/>
          <w:szCs w:val="32"/>
          <w:shd w:val="clear" w:color="auto" w:fill="FFFFFF"/>
        </w:rPr>
      </w:pPr>
    </w:p>
    <w:p>
      <w:pPr>
        <w:spacing w:line="560" w:lineRule="exact"/>
        <w:jc w:val="center"/>
        <w:rPr>
          <w:rFonts w:hint="eastAsia" w:asciiTheme="minorEastAsia" w:hAnsiTheme="minorEastAsia" w:cstheme="minorEastAsia"/>
          <w:b/>
          <w:bCs/>
          <w:sz w:val="36"/>
          <w:szCs w:val="36"/>
          <w:shd w:val="clear" w:color="auto" w:fill="FFFFFF"/>
        </w:rPr>
      </w:pPr>
      <w:r>
        <w:rPr>
          <w:rFonts w:hint="eastAsia" w:asciiTheme="minorEastAsia" w:hAnsiTheme="minorEastAsia" w:cstheme="minorEastAsia"/>
          <w:b/>
          <w:bCs/>
          <w:sz w:val="36"/>
          <w:szCs w:val="36"/>
          <w:shd w:val="clear" w:color="auto" w:fill="FFFFFF"/>
        </w:rPr>
        <w:t>关于申报</w:t>
      </w:r>
      <w:r>
        <w:rPr>
          <w:rFonts w:hint="eastAsia" w:asciiTheme="minorEastAsia" w:hAnsiTheme="minorEastAsia" w:cstheme="minorEastAsia"/>
          <w:b/>
          <w:bCs/>
          <w:color w:val="auto"/>
          <w:sz w:val="36"/>
          <w:szCs w:val="36"/>
          <w:shd w:val="clear" w:color="auto" w:fill="FFFFFF"/>
        </w:rPr>
        <w:t>202</w:t>
      </w:r>
      <w:r>
        <w:rPr>
          <w:rFonts w:hint="eastAsia" w:asciiTheme="minorEastAsia" w:hAnsiTheme="minorEastAsia" w:cstheme="minorEastAsia"/>
          <w:b/>
          <w:bCs/>
          <w:color w:val="auto"/>
          <w:sz w:val="36"/>
          <w:szCs w:val="36"/>
          <w:shd w:val="clear" w:color="auto" w:fill="FFFFFF"/>
          <w:lang w:val="en-US" w:eastAsia="zh-CN"/>
        </w:rPr>
        <w:t>2</w:t>
      </w:r>
      <w:r>
        <w:rPr>
          <w:rFonts w:hint="eastAsia" w:asciiTheme="minorEastAsia" w:hAnsiTheme="minorEastAsia" w:cstheme="minorEastAsia"/>
          <w:b/>
          <w:bCs/>
          <w:sz w:val="36"/>
          <w:szCs w:val="36"/>
          <w:shd w:val="clear" w:color="auto" w:fill="FFFFFF"/>
        </w:rPr>
        <w:t>年度湖南省学前教育规划课题的</w:t>
      </w:r>
    </w:p>
    <w:p>
      <w:pPr>
        <w:spacing w:line="560" w:lineRule="exact"/>
        <w:jc w:val="center"/>
        <w:rPr>
          <w:rFonts w:asciiTheme="minorEastAsia" w:hAnsiTheme="minorEastAsia" w:cstheme="minorEastAsia"/>
          <w:b/>
          <w:bCs/>
          <w:sz w:val="36"/>
          <w:szCs w:val="36"/>
          <w:shd w:val="clear" w:color="auto" w:fill="FFFFFF"/>
        </w:rPr>
      </w:pPr>
      <w:r>
        <w:rPr>
          <w:rFonts w:hint="eastAsia" w:asciiTheme="minorEastAsia" w:hAnsiTheme="minorEastAsia" w:cstheme="minorEastAsia"/>
          <w:b/>
          <w:bCs/>
          <w:sz w:val="36"/>
          <w:szCs w:val="36"/>
          <w:shd w:val="clear" w:color="auto" w:fill="FFFFFF"/>
        </w:rPr>
        <w:t>通</w:t>
      </w:r>
      <w:r>
        <w:rPr>
          <w:rFonts w:hint="eastAsia" w:asciiTheme="minorEastAsia" w:hAnsiTheme="minorEastAsia" w:cstheme="minorEastAsia"/>
          <w:b/>
          <w:bCs/>
          <w:sz w:val="36"/>
          <w:szCs w:val="36"/>
          <w:shd w:val="clear" w:color="auto" w:fill="FFFFFF"/>
          <w:lang w:val="en-US" w:eastAsia="zh-CN"/>
        </w:rPr>
        <w:t xml:space="preserve">  </w:t>
      </w:r>
      <w:r>
        <w:rPr>
          <w:rFonts w:hint="eastAsia" w:asciiTheme="minorEastAsia" w:hAnsiTheme="minorEastAsia" w:cstheme="minorEastAsia"/>
          <w:b/>
          <w:bCs/>
          <w:sz w:val="36"/>
          <w:szCs w:val="36"/>
          <w:shd w:val="clear" w:color="auto" w:fill="FFFFFF"/>
        </w:rPr>
        <w:t>知</w:t>
      </w:r>
    </w:p>
    <w:p>
      <w:pPr>
        <w:spacing w:line="500" w:lineRule="exact"/>
        <w:rPr>
          <w:rFonts w:asciiTheme="minorEastAsia" w:hAnsiTheme="minorEastAsia"/>
          <w:b/>
          <w:sz w:val="28"/>
          <w:szCs w:val="28"/>
        </w:rPr>
      </w:pPr>
    </w:p>
    <w:p>
      <w:pPr>
        <w:spacing w:line="500" w:lineRule="exact"/>
        <w:rPr>
          <w:rFonts w:asciiTheme="minorEastAsia" w:hAnsiTheme="minorEastAsia"/>
          <w:b/>
          <w:sz w:val="28"/>
          <w:szCs w:val="28"/>
        </w:rPr>
      </w:pPr>
      <w:r>
        <w:rPr>
          <w:rFonts w:hint="eastAsia" w:asciiTheme="minorEastAsia" w:hAnsiTheme="minorEastAsia"/>
          <w:b/>
          <w:sz w:val="28"/>
          <w:szCs w:val="28"/>
        </w:rPr>
        <w:t>各会员单位，各幼儿园，相关院校、研究机构：</w:t>
      </w:r>
    </w:p>
    <w:p>
      <w:pPr>
        <w:spacing w:line="500" w:lineRule="exact"/>
        <w:ind w:firstLine="560" w:firstLineChars="200"/>
        <w:rPr>
          <w:rFonts w:asciiTheme="minorEastAsia" w:hAnsiTheme="minorEastAsia"/>
          <w:sz w:val="28"/>
          <w:szCs w:val="28"/>
        </w:rPr>
      </w:pPr>
      <w:r>
        <w:rPr>
          <w:rFonts w:hint="eastAsia" w:asciiTheme="minorEastAsia" w:hAnsiTheme="minorEastAsia"/>
          <w:sz w:val="28"/>
          <w:szCs w:val="28"/>
        </w:rPr>
        <w:t>为</w:t>
      </w:r>
      <w:r>
        <w:rPr>
          <w:rFonts w:hint="eastAsia" w:asciiTheme="minorEastAsia" w:hAnsiTheme="minorEastAsia"/>
          <w:sz w:val="28"/>
          <w:szCs w:val="28"/>
          <w:lang w:val="en-US" w:eastAsia="zh-CN"/>
        </w:rPr>
        <w:t>针对湖南学前教育发展的重点难点问题有计划有组织组织教研科研，</w:t>
      </w:r>
      <w:r>
        <w:rPr>
          <w:rFonts w:hint="eastAsia" w:asciiTheme="minorEastAsia" w:hAnsiTheme="minorEastAsia"/>
          <w:sz w:val="28"/>
          <w:szCs w:val="28"/>
        </w:rPr>
        <w:t>支持学前教育机构和个人的教研科研活动，</w:t>
      </w:r>
      <w:r>
        <w:rPr>
          <w:rFonts w:hint="eastAsia" w:asciiTheme="minorEastAsia" w:hAnsiTheme="minorEastAsia"/>
          <w:sz w:val="28"/>
          <w:szCs w:val="28"/>
          <w:lang w:val="en-US" w:eastAsia="zh-CN"/>
        </w:rPr>
        <w:t>繁荣学前教育科学，</w:t>
      </w:r>
      <w:r>
        <w:rPr>
          <w:rFonts w:hint="eastAsia" w:asciiTheme="minorEastAsia" w:hAnsiTheme="minorEastAsia"/>
          <w:sz w:val="28"/>
          <w:szCs w:val="28"/>
        </w:rPr>
        <w:t>确定开展</w:t>
      </w:r>
      <w:r>
        <w:rPr>
          <w:rFonts w:hint="eastAsia" w:asciiTheme="minorEastAsia" w:hAnsiTheme="minorEastAsia"/>
          <w:color w:val="auto"/>
          <w:sz w:val="28"/>
          <w:szCs w:val="28"/>
        </w:rPr>
        <w:t>“202</w:t>
      </w:r>
      <w:r>
        <w:rPr>
          <w:rFonts w:hint="eastAsia" w:asciiTheme="minorEastAsia" w:hAnsiTheme="minorEastAsia"/>
          <w:color w:val="auto"/>
          <w:sz w:val="28"/>
          <w:szCs w:val="28"/>
          <w:lang w:val="en-US" w:eastAsia="zh-CN"/>
        </w:rPr>
        <w:t>2</w:t>
      </w:r>
      <w:r>
        <w:rPr>
          <w:rFonts w:hint="eastAsia" w:asciiTheme="minorEastAsia" w:hAnsiTheme="minorEastAsia"/>
          <w:color w:val="auto"/>
          <w:sz w:val="28"/>
          <w:szCs w:val="28"/>
        </w:rPr>
        <w:t>年</w:t>
      </w:r>
      <w:r>
        <w:rPr>
          <w:rFonts w:hint="eastAsia" w:asciiTheme="minorEastAsia" w:hAnsiTheme="minorEastAsia"/>
          <w:sz w:val="28"/>
          <w:szCs w:val="28"/>
        </w:rPr>
        <w:t>度湖南省学前教育规划课题”的</w:t>
      </w:r>
      <w:r>
        <w:rPr>
          <w:rFonts w:hint="eastAsia" w:asciiTheme="minorEastAsia" w:hAnsiTheme="minorEastAsia"/>
          <w:sz w:val="28"/>
          <w:szCs w:val="28"/>
          <w:lang w:val="en-US" w:eastAsia="zh-CN"/>
        </w:rPr>
        <w:t>立项</w:t>
      </w:r>
      <w:r>
        <w:rPr>
          <w:rFonts w:hint="eastAsia" w:asciiTheme="minorEastAsia" w:hAnsiTheme="minorEastAsia"/>
          <w:sz w:val="28"/>
          <w:szCs w:val="28"/>
        </w:rPr>
        <w:t>评审工作。现就有关事项通知如下:</w:t>
      </w:r>
    </w:p>
    <w:p>
      <w:pPr>
        <w:spacing w:line="500" w:lineRule="exact"/>
        <w:ind w:firstLine="562" w:firstLineChars="200"/>
        <w:rPr>
          <w:rFonts w:asciiTheme="minorEastAsia" w:hAnsiTheme="minorEastAsia"/>
          <w:b/>
          <w:sz w:val="28"/>
          <w:szCs w:val="28"/>
        </w:rPr>
      </w:pPr>
      <w:r>
        <w:rPr>
          <w:rFonts w:hint="eastAsia" w:asciiTheme="minorEastAsia" w:hAnsiTheme="minorEastAsia"/>
          <w:b/>
          <w:sz w:val="28"/>
          <w:szCs w:val="28"/>
        </w:rPr>
        <w:t>一、选题方向</w:t>
      </w:r>
    </w:p>
    <w:p>
      <w:pPr>
        <w:pStyle w:val="6"/>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left="0" w:leftChars="0" w:firstLine="560" w:firstLineChars="200"/>
        <w:jc w:val="left"/>
        <w:textAlignment w:val="auto"/>
        <w:rPr>
          <w:rFonts w:hint="eastAsia" w:asciiTheme="minorEastAsia" w:hAnsiTheme="minorEastAsia"/>
          <w:color w:val="auto"/>
          <w:sz w:val="28"/>
          <w:szCs w:val="28"/>
        </w:rPr>
      </w:pPr>
      <w:r>
        <w:rPr>
          <w:rFonts w:hint="eastAsia" w:asciiTheme="minorEastAsia" w:hAnsiTheme="minorEastAsia"/>
          <w:color w:val="auto"/>
          <w:sz w:val="28"/>
          <w:szCs w:val="28"/>
        </w:rPr>
        <w:t>202</w:t>
      </w:r>
      <w:r>
        <w:rPr>
          <w:rFonts w:hint="eastAsia" w:asciiTheme="minorEastAsia" w:hAnsiTheme="minorEastAsia"/>
          <w:color w:val="auto"/>
          <w:sz w:val="28"/>
          <w:szCs w:val="28"/>
          <w:lang w:val="en-US" w:eastAsia="zh-CN"/>
        </w:rPr>
        <w:t>2</w:t>
      </w:r>
      <w:r>
        <w:rPr>
          <w:rFonts w:hint="eastAsia" w:asciiTheme="minorEastAsia" w:hAnsiTheme="minorEastAsia"/>
          <w:color w:val="auto"/>
          <w:sz w:val="28"/>
          <w:szCs w:val="28"/>
        </w:rPr>
        <w:t>年度湖南省学前教育规划课题的选题应以习</w:t>
      </w:r>
      <w:r>
        <w:rPr>
          <w:rFonts w:hint="eastAsia" w:asciiTheme="minorEastAsia" w:hAnsiTheme="minorEastAsia"/>
          <w:color w:val="auto"/>
          <w:sz w:val="28"/>
          <w:szCs w:val="28"/>
          <w:lang w:eastAsia="zh-CN"/>
        </w:rPr>
        <w:t>近平</w:t>
      </w:r>
      <w:r>
        <w:rPr>
          <w:rFonts w:hint="eastAsia" w:asciiTheme="minorEastAsia" w:hAnsiTheme="minorEastAsia"/>
          <w:color w:val="auto"/>
          <w:sz w:val="28"/>
          <w:szCs w:val="28"/>
        </w:rPr>
        <w:t>总书记关于教育工作的重要论述为指导,着眼学前教育改革发展的新动向和新趋势,立足湖南学前教育教学改革与发展的热点、难点问题。具体方向参见《湖南省2022年学前教育规划课题选题指南》</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lang w:val="en-US" w:eastAsia="zh-CN"/>
        </w:rPr>
        <w:t>附件一</w:t>
      </w:r>
      <w:r>
        <w:rPr>
          <w:rFonts w:hint="eastAsia" w:asciiTheme="minorEastAsia" w:hAnsiTheme="minorEastAsia"/>
          <w:color w:val="auto"/>
          <w:sz w:val="28"/>
          <w:szCs w:val="28"/>
          <w:lang w:eastAsia="zh-CN"/>
        </w:rPr>
        <w:t>）</w:t>
      </w:r>
      <w:r>
        <w:rPr>
          <w:rFonts w:hint="eastAsia" w:asciiTheme="minorEastAsia" w:hAnsiTheme="minorEastAsia"/>
          <w:color w:val="auto"/>
          <w:sz w:val="28"/>
          <w:szCs w:val="28"/>
        </w:rPr>
        <w:t>。</w:t>
      </w:r>
    </w:p>
    <w:p>
      <w:pPr>
        <w:pStyle w:val="6"/>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left="0" w:leftChars="0" w:firstLine="562" w:firstLineChars="200"/>
        <w:jc w:val="left"/>
        <w:textAlignment w:val="auto"/>
        <w:rPr>
          <w:rFonts w:hint="eastAsia" w:asciiTheme="minorEastAsia" w:hAnsiTheme="minorEastAsia"/>
          <w:b/>
          <w:bCs/>
          <w:color w:val="auto"/>
          <w:sz w:val="28"/>
          <w:szCs w:val="28"/>
        </w:rPr>
      </w:pPr>
      <w:r>
        <w:rPr>
          <w:rFonts w:hint="eastAsia" w:asciiTheme="minorEastAsia" w:hAnsiTheme="minorEastAsia"/>
          <w:b/>
          <w:bCs/>
          <w:color w:val="auto"/>
          <w:sz w:val="28"/>
          <w:szCs w:val="28"/>
        </w:rPr>
        <w:t>二、申报要求</w:t>
      </w:r>
    </w:p>
    <w:p>
      <w:pPr>
        <w:spacing w:line="500" w:lineRule="exact"/>
        <w:ind w:firstLine="560" w:firstLineChars="200"/>
        <w:rPr>
          <w:rFonts w:hint="default" w:asciiTheme="minorEastAsia" w:hAnsiTheme="minorEastAsia"/>
          <w:sz w:val="28"/>
          <w:szCs w:val="28"/>
          <w:lang w:val="en-US" w:eastAsia="zh-CN"/>
        </w:rPr>
      </w:pPr>
      <w:r>
        <w:rPr>
          <w:rFonts w:hint="eastAsia" w:asciiTheme="minorEastAsia" w:hAnsiTheme="minorEastAsia"/>
          <w:sz w:val="28"/>
          <w:szCs w:val="28"/>
          <w:lang w:val="en-US" w:eastAsia="zh-CN"/>
        </w:rPr>
        <w:t>1.从2022年起，湖南省学前教育规划课题的立项和研究管理，统一执行新版《湖南省学前教育规划课题管理办法》（附件二）。请申报者注意阅读。</w:t>
      </w:r>
    </w:p>
    <w:p>
      <w:pPr>
        <w:spacing w:line="500" w:lineRule="exact"/>
        <w:ind w:firstLine="560" w:firstLineChars="200"/>
        <w:rPr>
          <w:rFonts w:asciiTheme="minorEastAsia" w:hAnsiTheme="minorEastAsia"/>
          <w:sz w:val="28"/>
          <w:szCs w:val="28"/>
        </w:rPr>
      </w:pPr>
      <w:r>
        <w:rPr>
          <w:rFonts w:hint="eastAsia" w:asciiTheme="minorEastAsia" w:hAnsiTheme="minorEastAsia"/>
          <w:sz w:val="28"/>
          <w:szCs w:val="28"/>
          <w:lang w:val="en-US" w:eastAsia="zh-CN"/>
        </w:rPr>
        <w:t>2</w:t>
      </w:r>
      <w:r>
        <w:rPr>
          <w:rFonts w:hint="eastAsia" w:asciiTheme="minorEastAsia" w:hAnsiTheme="minorEastAsia"/>
          <w:sz w:val="28"/>
          <w:szCs w:val="28"/>
        </w:rPr>
        <w:t>.对申报者的要求：课题申报者应能承担课题研究的组织与实施工作。不能从事实质性研究、研究期内因退休等各种原因不能完成研究任务的人员，原则上不得申报。每个课题限报一名主持人，课题组成员的填报须征得本人同意。</w:t>
      </w:r>
    </w:p>
    <w:p>
      <w:pPr>
        <w:spacing w:line="500" w:lineRule="exact"/>
        <w:ind w:firstLine="560" w:firstLineChars="200"/>
        <w:rPr>
          <w:rFonts w:asciiTheme="minorEastAsia" w:hAnsiTheme="minorEastAsia"/>
          <w:sz w:val="28"/>
          <w:szCs w:val="28"/>
        </w:rPr>
      </w:pPr>
      <w:r>
        <w:rPr>
          <w:rFonts w:hint="eastAsia" w:asciiTheme="minorEastAsia" w:hAnsiTheme="minorEastAsia"/>
          <w:sz w:val="28"/>
          <w:szCs w:val="28"/>
          <w:lang w:val="en-US" w:eastAsia="zh-CN"/>
        </w:rPr>
        <w:t>3</w:t>
      </w:r>
      <w:r>
        <w:rPr>
          <w:rFonts w:hint="eastAsia" w:asciiTheme="minorEastAsia" w:hAnsiTheme="minorEastAsia"/>
          <w:sz w:val="28"/>
          <w:szCs w:val="28"/>
        </w:rPr>
        <w:t>.申报材料提交要求：统一采用《湖南省学前教育规划课题申报书》</w:t>
      </w:r>
      <w:r>
        <w:rPr>
          <w:rFonts w:hint="eastAsia" w:asciiTheme="minorEastAsia" w:hAnsiTheme="minorEastAsia"/>
          <w:sz w:val="28"/>
          <w:szCs w:val="28"/>
          <w:lang w:eastAsia="zh-CN"/>
        </w:rPr>
        <w:t>（</w:t>
      </w:r>
      <w:r>
        <w:rPr>
          <w:rFonts w:hint="eastAsia" w:asciiTheme="minorEastAsia" w:hAnsiTheme="minorEastAsia"/>
          <w:sz w:val="28"/>
          <w:szCs w:val="28"/>
          <w:lang w:val="en-US" w:eastAsia="zh-CN"/>
        </w:rPr>
        <w:t>附件三</w:t>
      </w:r>
      <w:r>
        <w:rPr>
          <w:rFonts w:hint="eastAsia" w:asciiTheme="minorEastAsia" w:hAnsiTheme="minorEastAsia"/>
          <w:sz w:val="28"/>
          <w:szCs w:val="28"/>
          <w:lang w:eastAsia="zh-CN"/>
        </w:rPr>
        <w:t>）</w:t>
      </w:r>
      <w:r>
        <w:rPr>
          <w:rFonts w:hint="eastAsia" w:asciiTheme="minorEastAsia" w:hAnsiTheme="minorEastAsia"/>
          <w:sz w:val="28"/>
          <w:szCs w:val="28"/>
        </w:rPr>
        <w:t>申报，向省学会提交的纸质《申报书》须一式六份（单位盖章），并将电子稿发送至省学会邮箱：</w:t>
      </w:r>
      <w:r>
        <w:rPr>
          <w:rFonts w:hint="eastAsia" w:asciiTheme="minorEastAsia" w:hAnsiTheme="minorEastAsia"/>
          <w:sz w:val="28"/>
          <w:szCs w:val="28"/>
          <w:lang w:val="en-US" w:eastAsia="zh-CN"/>
        </w:rPr>
        <w:t>hnsxqjyxh@163.com</w:t>
      </w:r>
      <w:r>
        <w:rPr>
          <w:rFonts w:hint="eastAsia" w:asciiTheme="minorEastAsia" w:hAnsiTheme="minorEastAsia"/>
          <w:sz w:val="28"/>
          <w:szCs w:val="28"/>
        </w:rPr>
        <w:t>。</w:t>
      </w:r>
    </w:p>
    <w:p>
      <w:pPr>
        <w:spacing w:line="500" w:lineRule="exact"/>
        <w:ind w:firstLine="562" w:firstLineChars="200"/>
        <w:rPr>
          <w:rFonts w:hint="eastAsia" w:asciiTheme="minorEastAsia" w:hAnsiTheme="minorEastAsia" w:eastAsiaTheme="minorEastAsia"/>
          <w:b/>
          <w:sz w:val="28"/>
          <w:szCs w:val="28"/>
          <w:lang w:val="en-US" w:eastAsia="zh-CN"/>
        </w:rPr>
      </w:pPr>
      <w:r>
        <w:rPr>
          <w:rFonts w:hint="eastAsia" w:asciiTheme="minorEastAsia" w:hAnsiTheme="minorEastAsia"/>
          <w:b/>
          <w:sz w:val="28"/>
          <w:szCs w:val="28"/>
        </w:rPr>
        <w:t>三、申报时间与联系</w:t>
      </w:r>
      <w:r>
        <w:rPr>
          <w:rFonts w:hint="eastAsia" w:asciiTheme="minorEastAsia" w:hAnsiTheme="minorEastAsia"/>
          <w:b/>
          <w:sz w:val="28"/>
          <w:szCs w:val="28"/>
          <w:lang w:val="en-US" w:eastAsia="zh-CN"/>
        </w:rPr>
        <w:t>地址</w:t>
      </w:r>
    </w:p>
    <w:p>
      <w:pPr>
        <w:spacing w:line="500" w:lineRule="exact"/>
        <w:ind w:firstLine="560" w:firstLineChars="200"/>
        <w:rPr>
          <w:rFonts w:asciiTheme="minorEastAsia" w:hAnsiTheme="minorEastAsia"/>
          <w:sz w:val="28"/>
          <w:szCs w:val="28"/>
        </w:rPr>
      </w:pPr>
      <w:r>
        <w:rPr>
          <w:rFonts w:hint="eastAsia" w:asciiTheme="minorEastAsia" w:hAnsiTheme="minorEastAsia"/>
          <w:sz w:val="28"/>
          <w:szCs w:val="28"/>
        </w:rPr>
        <w:t>202</w:t>
      </w:r>
      <w:r>
        <w:rPr>
          <w:rFonts w:hint="eastAsia" w:asciiTheme="minorEastAsia" w:hAnsiTheme="minorEastAsia"/>
          <w:sz w:val="28"/>
          <w:szCs w:val="28"/>
          <w:lang w:val="en-US" w:eastAsia="zh-CN"/>
        </w:rPr>
        <w:t>2</w:t>
      </w:r>
      <w:bookmarkStart w:id="1" w:name="_GoBack"/>
      <w:bookmarkEnd w:id="1"/>
      <w:r>
        <w:rPr>
          <w:rFonts w:hint="eastAsia" w:asciiTheme="minorEastAsia" w:hAnsiTheme="minorEastAsia"/>
          <w:sz w:val="28"/>
          <w:szCs w:val="28"/>
        </w:rPr>
        <w:t>年度立项申报的截止时间为</w:t>
      </w:r>
      <w:r>
        <w:rPr>
          <w:rFonts w:hint="eastAsia" w:asciiTheme="minorEastAsia" w:hAnsiTheme="minorEastAsia"/>
          <w:sz w:val="28"/>
          <w:szCs w:val="28"/>
          <w:lang w:val="en-US" w:eastAsia="zh-CN"/>
        </w:rPr>
        <w:t>2021年12</w:t>
      </w:r>
      <w:r>
        <w:rPr>
          <w:rFonts w:hint="eastAsia" w:asciiTheme="minorEastAsia" w:hAnsiTheme="minorEastAsia"/>
          <w:sz w:val="28"/>
          <w:szCs w:val="28"/>
        </w:rPr>
        <w:t>月</w:t>
      </w:r>
      <w:r>
        <w:rPr>
          <w:rFonts w:hint="eastAsia" w:asciiTheme="minorEastAsia" w:hAnsiTheme="minorEastAsia"/>
          <w:sz w:val="28"/>
          <w:szCs w:val="28"/>
          <w:lang w:val="en-US" w:eastAsia="zh-CN"/>
        </w:rPr>
        <w:t>31</w:t>
      </w:r>
      <w:r>
        <w:rPr>
          <w:rFonts w:hint="eastAsia" w:asciiTheme="minorEastAsia" w:hAnsiTheme="minorEastAsia"/>
          <w:sz w:val="28"/>
          <w:szCs w:val="28"/>
        </w:rPr>
        <w:t>日。</w:t>
      </w:r>
    </w:p>
    <w:p>
      <w:pPr>
        <w:spacing w:line="500" w:lineRule="exact"/>
        <w:ind w:firstLine="560" w:firstLineChars="200"/>
        <w:rPr>
          <w:rFonts w:asciiTheme="minorEastAsia" w:hAnsiTheme="minorEastAsia"/>
          <w:sz w:val="28"/>
          <w:szCs w:val="28"/>
        </w:rPr>
      </w:pPr>
      <w:r>
        <w:rPr>
          <w:rFonts w:hint="eastAsia" w:asciiTheme="minorEastAsia" w:hAnsiTheme="minorEastAsia"/>
          <w:sz w:val="28"/>
          <w:szCs w:val="28"/>
          <w:lang w:val="en-US" w:eastAsia="zh-CN"/>
        </w:rPr>
        <w:t>材料寄送</w:t>
      </w:r>
      <w:r>
        <w:rPr>
          <w:rFonts w:hint="eastAsia" w:asciiTheme="minorEastAsia" w:hAnsiTheme="minorEastAsia"/>
          <w:sz w:val="28"/>
          <w:szCs w:val="28"/>
        </w:rPr>
        <w:t>地址：长沙市星沙特立路9号，长沙师范学院南校区</w:t>
      </w:r>
      <w:r>
        <w:rPr>
          <w:rFonts w:hint="eastAsia" w:asciiTheme="minorEastAsia" w:hAnsiTheme="minorEastAsia"/>
          <w:sz w:val="28"/>
          <w:szCs w:val="28"/>
          <w:lang w:val="en-US" w:eastAsia="zh-CN"/>
        </w:rPr>
        <w:t>体育科学学院四楼</w:t>
      </w:r>
      <w:r>
        <w:rPr>
          <w:rFonts w:hint="eastAsia" w:asciiTheme="minorEastAsia" w:hAnsiTheme="minorEastAsia"/>
          <w:sz w:val="28"/>
          <w:szCs w:val="28"/>
        </w:rPr>
        <w:t>，湖南省学前教育学会，</w:t>
      </w:r>
      <w:r>
        <w:rPr>
          <w:rFonts w:hint="eastAsia" w:asciiTheme="minorEastAsia" w:hAnsiTheme="minorEastAsia"/>
          <w:sz w:val="28"/>
          <w:szCs w:val="28"/>
          <w:lang w:val="en-US" w:eastAsia="zh-CN"/>
        </w:rPr>
        <w:t>于老师 13027318866</w:t>
      </w:r>
      <w:r>
        <w:rPr>
          <w:rFonts w:hint="eastAsia" w:asciiTheme="minorEastAsia" w:hAnsiTheme="minorEastAsia"/>
          <w:sz w:val="28"/>
          <w:szCs w:val="28"/>
        </w:rPr>
        <w:t>。</w:t>
      </w:r>
    </w:p>
    <w:p>
      <w:pPr>
        <w:spacing w:line="500" w:lineRule="exact"/>
        <w:ind w:firstLine="560" w:firstLineChars="200"/>
        <w:rPr>
          <w:rFonts w:hint="eastAsia" w:asciiTheme="minorEastAsia" w:hAnsiTheme="minorEastAsia" w:eastAsiaTheme="minorEastAsia"/>
          <w:sz w:val="28"/>
          <w:szCs w:val="28"/>
          <w:lang w:eastAsia="zh-CN"/>
        </w:rPr>
      </w:pPr>
      <w:r>
        <w:rPr>
          <w:rFonts w:hint="eastAsia" w:asciiTheme="minorEastAsia" w:hAnsiTheme="minorEastAsia"/>
          <w:sz w:val="28"/>
          <w:szCs w:val="28"/>
        </w:rPr>
        <w:t>规划课题交流QQ群：</w:t>
      </w:r>
      <w:r>
        <w:rPr>
          <w:rFonts w:asciiTheme="minorEastAsia" w:hAnsiTheme="minorEastAsia"/>
          <w:sz w:val="28"/>
          <w:szCs w:val="28"/>
        </w:rPr>
        <w:t>437609790</w:t>
      </w:r>
      <w:r>
        <w:rPr>
          <w:rFonts w:hint="eastAsia" w:asciiTheme="minorEastAsia" w:hAnsiTheme="minorEastAsia"/>
          <w:sz w:val="28"/>
          <w:szCs w:val="28"/>
          <w:lang w:eastAsia="zh-CN"/>
        </w:rPr>
        <w:t>（</w:t>
      </w:r>
      <w:r>
        <w:rPr>
          <w:rFonts w:hint="eastAsia" w:asciiTheme="minorEastAsia" w:hAnsiTheme="minorEastAsia"/>
          <w:sz w:val="28"/>
          <w:szCs w:val="28"/>
          <w:lang w:val="en-US" w:eastAsia="zh-CN"/>
        </w:rPr>
        <w:t>请备注单位、姓名</w:t>
      </w:r>
      <w:r>
        <w:rPr>
          <w:rFonts w:hint="eastAsia" w:asciiTheme="minorEastAsia" w:hAnsiTheme="minorEastAsia"/>
          <w:sz w:val="28"/>
          <w:szCs w:val="28"/>
          <w:lang w:eastAsia="zh-CN"/>
        </w:rPr>
        <w:t>）</w:t>
      </w:r>
    </w:p>
    <w:p>
      <w:pPr>
        <w:spacing w:line="500" w:lineRule="exact"/>
        <w:ind w:firstLine="562" w:firstLineChars="200"/>
        <w:rPr>
          <w:rFonts w:asciiTheme="minorEastAsia" w:hAnsiTheme="minorEastAsia"/>
          <w:b/>
          <w:sz w:val="28"/>
          <w:szCs w:val="28"/>
        </w:rPr>
      </w:pPr>
    </w:p>
    <w:p>
      <w:pPr>
        <w:pStyle w:val="6"/>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left="0" w:leftChars="0" w:firstLine="560" w:firstLineChars="200"/>
        <w:jc w:val="both"/>
        <w:textAlignment w:val="auto"/>
        <w:rPr>
          <w:rFonts w:hint="eastAsia" w:asciiTheme="minorEastAsia" w:hAnsiTheme="minorEastAsia"/>
          <w:b w:val="0"/>
          <w:bCs/>
          <w:sz w:val="28"/>
          <w:szCs w:val="28"/>
        </w:rPr>
      </w:pPr>
      <w:r>
        <w:rPr>
          <w:rFonts w:hint="eastAsia" w:asciiTheme="minorEastAsia" w:hAnsiTheme="minorEastAsia" w:eastAsiaTheme="minorEastAsia" w:cstheme="minorBidi"/>
          <w:b w:val="0"/>
          <w:bCs/>
          <w:kern w:val="2"/>
          <w:sz w:val="28"/>
          <w:szCs w:val="28"/>
          <w:lang w:val="en-US" w:eastAsia="zh-CN" w:bidi="ar-SA"/>
        </w:rPr>
        <w:t>附件一：湖南省2022年学前教育规划课题选题指南</w:t>
      </w:r>
    </w:p>
    <w:p>
      <w:pPr>
        <w:spacing w:line="500" w:lineRule="exact"/>
        <w:ind w:firstLine="560" w:firstLineChars="200"/>
        <w:rPr>
          <w:rFonts w:hint="eastAsia" w:asciiTheme="minorEastAsia" w:hAnsiTheme="minorEastAsia"/>
          <w:b w:val="0"/>
          <w:bCs/>
          <w:sz w:val="28"/>
          <w:szCs w:val="28"/>
        </w:rPr>
      </w:pPr>
      <w:r>
        <w:rPr>
          <w:rFonts w:hint="eastAsia" w:asciiTheme="minorEastAsia" w:hAnsiTheme="minorEastAsia"/>
          <w:b w:val="0"/>
          <w:bCs/>
          <w:sz w:val="28"/>
          <w:szCs w:val="28"/>
          <w:lang w:val="en-US" w:eastAsia="zh-CN"/>
        </w:rPr>
        <w:t>附件二</w:t>
      </w:r>
      <w:r>
        <w:rPr>
          <w:rFonts w:hint="eastAsia" w:asciiTheme="minorEastAsia" w:hAnsiTheme="minorEastAsia"/>
          <w:b w:val="0"/>
          <w:bCs/>
          <w:sz w:val="28"/>
          <w:szCs w:val="28"/>
        </w:rPr>
        <w:t>：湖南省学前教育</w:t>
      </w:r>
      <w:r>
        <w:rPr>
          <w:rFonts w:hint="eastAsia" w:asciiTheme="minorEastAsia" w:hAnsiTheme="minorEastAsia"/>
          <w:b w:val="0"/>
          <w:bCs/>
          <w:sz w:val="28"/>
          <w:szCs w:val="28"/>
          <w:lang w:val="en-US" w:eastAsia="zh-CN"/>
        </w:rPr>
        <w:t>规划</w:t>
      </w:r>
      <w:r>
        <w:rPr>
          <w:rFonts w:hint="eastAsia" w:asciiTheme="minorEastAsia" w:hAnsiTheme="minorEastAsia"/>
          <w:b w:val="0"/>
          <w:bCs/>
          <w:sz w:val="28"/>
          <w:szCs w:val="28"/>
        </w:rPr>
        <w:t>课题管理办法</w:t>
      </w:r>
    </w:p>
    <w:p>
      <w:pPr>
        <w:spacing w:line="500" w:lineRule="exact"/>
        <w:ind w:firstLine="560" w:firstLineChars="200"/>
        <w:rPr>
          <w:rFonts w:asciiTheme="minorEastAsia" w:hAnsiTheme="minorEastAsia"/>
          <w:b w:val="0"/>
          <w:bCs/>
          <w:sz w:val="28"/>
          <w:szCs w:val="28"/>
        </w:rPr>
      </w:pPr>
      <w:r>
        <w:rPr>
          <w:rFonts w:hint="eastAsia" w:asciiTheme="minorEastAsia" w:hAnsiTheme="minorEastAsia"/>
          <w:b w:val="0"/>
          <w:bCs/>
          <w:sz w:val="28"/>
          <w:szCs w:val="28"/>
        </w:rPr>
        <w:t>附件</w:t>
      </w:r>
      <w:r>
        <w:rPr>
          <w:rFonts w:hint="eastAsia" w:asciiTheme="minorEastAsia" w:hAnsiTheme="minorEastAsia"/>
          <w:b w:val="0"/>
          <w:bCs/>
          <w:sz w:val="28"/>
          <w:szCs w:val="28"/>
          <w:lang w:val="en-US" w:eastAsia="zh-CN"/>
        </w:rPr>
        <w:t>三</w:t>
      </w:r>
      <w:r>
        <w:rPr>
          <w:rFonts w:hint="eastAsia" w:asciiTheme="minorEastAsia" w:hAnsiTheme="minorEastAsia"/>
          <w:b w:val="0"/>
          <w:bCs/>
          <w:sz w:val="28"/>
          <w:szCs w:val="28"/>
        </w:rPr>
        <w:t>：湖南省学前教育规划课题申报书</w:t>
      </w:r>
    </w:p>
    <w:p>
      <w:pPr>
        <w:spacing w:line="500" w:lineRule="exact"/>
        <w:ind w:firstLine="562" w:firstLineChars="200"/>
        <w:rPr>
          <w:rFonts w:asciiTheme="minorEastAsia" w:hAnsiTheme="minorEastAsia"/>
          <w:b/>
          <w:sz w:val="28"/>
          <w:szCs w:val="28"/>
        </w:rPr>
      </w:pPr>
    </w:p>
    <w:p>
      <w:pPr>
        <w:ind w:firstLine="562" w:firstLineChars="200"/>
        <w:rPr>
          <w:rFonts w:asciiTheme="minorEastAsia" w:hAnsiTheme="minorEastAsia"/>
          <w:b/>
          <w:sz w:val="28"/>
          <w:szCs w:val="28"/>
        </w:rPr>
      </w:pPr>
    </w:p>
    <w:p>
      <w:pPr>
        <w:spacing w:line="500" w:lineRule="exact"/>
        <w:ind w:firstLine="560" w:firstLineChars="200"/>
        <w:rPr>
          <w:rFonts w:asciiTheme="minorEastAsia" w:hAnsiTheme="minorEastAsia"/>
          <w:sz w:val="28"/>
          <w:szCs w:val="28"/>
        </w:rPr>
      </w:pPr>
    </w:p>
    <w:p>
      <w:pPr>
        <w:adjustRightInd w:val="0"/>
        <w:snapToGrid w:val="0"/>
        <w:spacing w:line="500" w:lineRule="exact"/>
        <w:ind w:firstLine="562" w:firstLineChars="201"/>
        <w:jc w:val="right"/>
        <w:rPr>
          <w:rFonts w:cs="仿宋_GB2312" w:asciiTheme="minorEastAsia" w:hAnsiTheme="minorEastAsia"/>
          <w:color w:val="000000"/>
          <w:sz w:val="28"/>
          <w:szCs w:val="28"/>
        </w:rPr>
      </w:pPr>
    </w:p>
    <w:p>
      <w:pPr>
        <w:adjustRightInd w:val="0"/>
        <w:snapToGrid w:val="0"/>
        <w:spacing w:line="500" w:lineRule="exact"/>
        <w:ind w:firstLine="562" w:firstLineChars="201"/>
        <w:jc w:val="right"/>
        <w:rPr>
          <w:rFonts w:cs="仿宋_GB2312" w:asciiTheme="minorEastAsia" w:hAnsiTheme="minorEastAsia"/>
          <w:color w:val="000000"/>
          <w:sz w:val="28"/>
          <w:szCs w:val="28"/>
        </w:rPr>
      </w:pPr>
    </w:p>
    <w:p>
      <w:pPr>
        <w:adjustRightInd w:val="0"/>
        <w:snapToGrid w:val="0"/>
        <w:spacing w:line="500" w:lineRule="exact"/>
        <w:ind w:firstLine="562" w:firstLineChars="201"/>
        <w:jc w:val="right"/>
        <w:rPr>
          <w:rFonts w:cs="仿宋_GB2312" w:asciiTheme="minorEastAsia" w:hAnsiTheme="minorEastAsia"/>
          <w:color w:val="000000"/>
          <w:sz w:val="28"/>
          <w:szCs w:val="28"/>
        </w:rPr>
      </w:pPr>
    </w:p>
    <w:p>
      <w:pPr>
        <w:adjustRightInd w:val="0"/>
        <w:snapToGrid w:val="0"/>
        <w:spacing w:line="500" w:lineRule="exact"/>
        <w:ind w:firstLine="562" w:firstLineChars="201"/>
        <w:jc w:val="right"/>
        <w:rPr>
          <w:rFonts w:cs="仿宋_GB2312" w:asciiTheme="minorEastAsia" w:hAnsiTheme="minorEastAsia"/>
          <w:color w:val="000000"/>
          <w:sz w:val="28"/>
          <w:szCs w:val="28"/>
        </w:rPr>
      </w:pPr>
    </w:p>
    <w:p>
      <w:pPr>
        <w:adjustRightInd w:val="0"/>
        <w:snapToGrid w:val="0"/>
        <w:spacing w:line="500" w:lineRule="exact"/>
        <w:ind w:firstLine="562" w:firstLineChars="201"/>
        <w:jc w:val="right"/>
        <w:rPr>
          <w:rFonts w:cs="仿宋_GB2312" w:asciiTheme="minorEastAsia" w:hAnsiTheme="minorEastAsia"/>
          <w:color w:val="000000"/>
          <w:sz w:val="28"/>
          <w:szCs w:val="28"/>
        </w:rPr>
      </w:pPr>
      <w:r>
        <w:rPr>
          <w:rFonts w:hint="eastAsia" w:cs="仿宋_GB2312" w:asciiTheme="minorEastAsia" w:hAnsiTheme="minorEastAsia"/>
          <w:color w:val="000000"/>
          <w:sz w:val="28"/>
          <w:szCs w:val="28"/>
        </w:rPr>
        <w:t xml:space="preserve">湖南省学前教育学会 </w:t>
      </w:r>
    </w:p>
    <w:p>
      <w:pPr>
        <w:adjustRightInd w:val="0"/>
        <w:snapToGrid w:val="0"/>
        <w:spacing w:line="500" w:lineRule="exact"/>
        <w:ind w:firstLine="562" w:firstLineChars="201"/>
        <w:jc w:val="center"/>
        <w:rPr>
          <w:rFonts w:hint="default" w:cs="仿宋_GB2312" w:asciiTheme="minorEastAsia" w:hAnsiTheme="minorEastAsia" w:eastAsiaTheme="minorEastAsia"/>
          <w:color w:val="000000"/>
          <w:sz w:val="28"/>
          <w:szCs w:val="28"/>
          <w:lang w:val="en-US" w:eastAsia="zh-CN"/>
        </w:rPr>
      </w:pPr>
      <w:r>
        <w:rPr>
          <w:rFonts w:hint="eastAsia" w:cs="仿宋_GB2312" w:asciiTheme="minorEastAsia" w:hAnsiTheme="minorEastAsia"/>
          <w:color w:val="000000"/>
          <w:sz w:val="28"/>
          <w:szCs w:val="28"/>
        </w:rPr>
        <w:t xml:space="preserve">                                 </w:t>
      </w:r>
      <w:r>
        <w:rPr>
          <w:rFonts w:hint="eastAsia" w:cs="仿宋_GB2312" w:asciiTheme="minorEastAsia" w:hAnsiTheme="minorEastAsia"/>
          <w:color w:val="000000"/>
          <w:sz w:val="28"/>
          <w:szCs w:val="28"/>
          <w:lang w:val="en-US" w:eastAsia="zh-CN"/>
        </w:rPr>
        <w:t xml:space="preserve">   </w:t>
      </w:r>
      <w:r>
        <w:rPr>
          <w:rFonts w:hint="eastAsia" w:cs="仿宋_GB2312" w:asciiTheme="minorEastAsia" w:hAnsiTheme="minorEastAsia"/>
          <w:color w:val="000000"/>
          <w:sz w:val="28"/>
          <w:szCs w:val="28"/>
        </w:rPr>
        <w:t xml:space="preserve"> 202</w:t>
      </w:r>
      <w:r>
        <w:rPr>
          <w:rFonts w:hint="eastAsia" w:cs="仿宋_GB2312" w:asciiTheme="minorEastAsia" w:hAnsiTheme="minorEastAsia"/>
          <w:color w:val="000000"/>
          <w:sz w:val="28"/>
          <w:szCs w:val="28"/>
          <w:lang w:val="en-US" w:eastAsia="zh-CN"/>
        </w:rPr>
        <w:t>1</w:t>
      </w:r>
      <w:r>
        <w:rPr>
          <w:rFonts w:hint="eastAsia" w:cs="仿宋_GB2312" w:asciiTheme="minorEastAsia" w:hAnsiTheme="minorEastAsia"/>
          <w:color w:val="000000"/>
          <w:sz w:val="28"/>
          <w:szCs w:val="28"/>
        </w:rPr>
        <w:t>年</w:t>
      </w:r>
      <w:r>
        <w:rPr>
          <w:rFonts w:hint="eastAsia" w:cs="仿宋_GB2312" w:asciiTheme="minorEastAsia" w:hAnsiTheme="minorEastAsia"/>
          <w:color w:val="000000"/>
          <w:sz w:val="28"/>
          <w:szCs w:val="28"/>
          <w:lang w:val="en-US" w:eastAsia="zh-CN"/>
        </w:rPr>
        <w:t>10</w:t>
      </w:r>
      <w:r>
        <w:rPr>
          <w:rFonts w:hint="eastAsia" w:cs="仿宋_GB2312" w:asciiTheme="minorEastAsia" w:hAnsiTheme="minorEastAsia"/>
          <w:color w:val="000000"/>
          <w:sz w:val="28"/>
          <w:szCs w:val="28"/>
        </w:rPr>
        <w:t>月</w:t>
      </w:r>
      <w:r>
        <w:rPr>
          <w:rFonts w:hint="eastAsia" w:cs="仿宋_GB2312" w:asciiTheme="minorEastAsia" w:hAnsiTheme="minorEastAsia"/>
          <w:color w:val="000000"/>
          <w:sz w:val="28"/>
          <w:szCs w:val="28"/>
          <w:lang w:val="en-US" w:eastAsia="zh-CN"/>
        </w:rPr>
        <w:t>18日</w:t>
      </w:r>
    </w:p>
    <w:p>
      <w:pPr>
        <w:rPr>
          <w:rFonts w:asciiTheme="minorEastAsia" w:hAnsiTheme="minorEastAsia"/>
          <w:sz w:val="28"/>
          <w:szCs w:val="28"/>
        </w:rPr>
      </w:pPr>
      <w:r>
        <w:rPr>
          <w:rFonts w:asciiTheme="minorEastAsia" w:hAnsiTheme="minorEastAsia"/>
          <w:sz w:val="28"/>
          <w:szCs w:val="28"/>
        </w:rPr>
        <w:br w:type="page"/>
      </w:r>
    </w:p>
    <w:p>
      <w:pPr>
        <w:pStyle w:val="6"/>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left="0" w:leftChars="0"/>
        <w:jc w:val="both"/>
        <w:textAlignment w:val="auto"/>
        <w:rPr>
          <w:rStyle w:val="9"/>
          <w:rFonts w:hint="default" w:eastAsia="宋体"/>
          <w:color w:val="auto"/>
          <w:sz w:val="28"/>
          <w:szCs w:val="28"/>
          <w:lang w:val="en-US" w:eastAsia="zh-CN"/>
        </w:rPr>
      </w:pPr>
      <w:r>
        <w:rPr>
          <w:rStyle w:val="9"/>
          <w:rFonts w:hint="eastAsia"/>
          <w:color w:val="auto"/>
          <w:sz w:val="28"/>
          <w:szCs w:val="28"/>
          <w:lang w:val="en-US" w:eastAsia="zh-CN"/>
        </w:rPr>
        <w:t>附件1：</w:t>
      </w:r>
    </w:p>
    <w:p>
      <w:pPr>
        <w:pStyle w:val="6"/>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left="0" w:leftChars="0"/>
        <w:jc w:val="both"/>
        <w:textAlignment w:val="auto"/>
        <w:rPr>
          <w:rStyle w:val="9"/>
          <w:rFonts w:hint="eastAsia"/>
          <w:color w:val="auto"/>
          <w:sz w:val="36"/>
          <w:szCs w:val="36"/>
        </w:rPr>
      </w:pPr>
    </w:p>
    <w:p>
      <w:pPr>
        <w:pStyle w:val="6"/>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left="0" w:leftChars="0"/>
        <w:jc w:val="center"/>
        <w:textAlignment w:val="auto"/>
        <w:rPr>
          <w:color w:val="auto"/>
          <w:sz w:val="21"/>
          <w:szCs w:val="21"/>
        </w:rPr>
      </w:pPr>
      <w:r>
        <w:rPr>
          <w:rStyle w:val="9"/>
          <w:rFonts w:hint="eastAsia"/>
          <w:color w:val="auto"/>
          <w:sz w:val="36"/>
          <w:szCs w:val="36"/>
        </w:rPr>
        <w:t>湖南省2</w:t>
      </w:r>
      <w:r>
        <w:rPr>
          <w:rStyle w:val="9"/>
          <w:color w:val="auto"/>
          <w:sz w:val="36"/>
          <w:szCs w:val="36"/>
        </w:rPr>
        <w:t>022</w:t>
      </w:r>
      <w:r>
        <w:rPr>
          <w:rStyle w:val="9"/>
          <w:rFonts w:hint="eastAsia"/>
          <w:color w:val="auto"/>
          <w:sz w:val="36"/>
          <w:szCs w:val="36"/>
        </w:rPr>
        <w:t>年学前教育规划课题选题指南</w:t>
      </w:r>
    </w:p>
    <w:p>
      <w:pPr>
        <w:pStyle w:val="6"/>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left="0" w:leftChars="0"/>
        <w:jc w:val="center"/>
        <w:textAlignment w:val="auto"/>
        <w:rPr>
          <w:rStyle w:val="9"/>
          <w:color w:val="auto"/>
          <w:sz w:val="32"/>
          <w:szCs w:val="32"/>
        </w:rPr>
      </w:pPr>
    </w:p>
    <w:p>
      <w:pPr>
        <w:pStyle w:val="6"/>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left="0" w:leftChars="0" w:firstLine="562" w:firstLineChars="200"/>
        <w:jc w:val="both"/>
        <w:textAlignment w:val="auto"/>
        <w:rPr>
          <w:rFonts w:hint="eastAsia" w:asciiTheme="majorEastAsia" w:hAnsiTheme="majorEastAsia" w:eastAsiaTheme="majorEastAsia" w:cstheme="majorEastAsia"/>
          <w:color w:val="auto"/>
          <w:sz w:val="28"/>
          <w:szCs w:val="28"/>
        </w:rPr>
      </w:pPr>
      <w:r>
        <w:rPr>
          <w:rStyle w:val="9"/>
          <w:rFonts w:hint="eastAsia" w:ascii="宋体" w:hAnsi="宋体" w:eastAsia="宋体" w:cs="宋体"/>
          <w:color w:val="auto"/>
          <w:sz w:val="28"/>
          <w:szCs w:val="28"/>
        </w:rPr>
        <w:t>一、指南说明</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为了深入贯彻党的十九大精神和党的教育方针，落实国家关于学前教育改革与发展的相关政策与纲领，广泛发动湖南省学前教育界相关人士开展群众性科研工作，以促进我省学前教育事业发展和质量提升，现拟订湖南省2</w:t>
      </w:r>
      <w:r>
        <w:rPr>
          <w:rFonts w:asciiTheme="minorEastAsia" w:hAnsiTheme="minorEastAsia"/>
          <w:color w:val="auto"/>
          <w:sz w:val="28"/>
          <w:szCs w:val="28"/>
        </w:rPr>
        <w:t>022</w:t>
      </w:r>
      <w:r>
        <w:rPr>
          <w:rFonts w:hint="eastAsia" w:asciiTheme="minorEastAsia" w:hAnsiTheme="minorEastAsia"/>
          <w:color w:val="auto"/>
          <w:sz w:val="28"/>
          <w:szCs w:val="28"/>
        </w:rPr>
        <w:t>年学前教育规划课题选题指南。</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hint="eastAsia" w:asciiTheme="minorEastAsia" w:hAnsiTheme="minorEastAsia" w:eastAsiaTheme="minorEastAsia" w:cstheme="minorBidi"/>
          <w:color w:val="auto"/>
          <w:kern w:val="2"/>
          <w:sz w:val="28"/>
          <w:szCs w:val="28"/>
          <w:lang w:val="en-US" w:eastAsia="zh-CN" w:bidi="ar-SA"/>
        </w:rPr>
      </w:pPr>
      <w:r>
        <w:rPr>
          <w:rFonts w:hint="eastAsia" w:asciiTheme="minorEastAsia" w:hAnsiTheme="minorEastAsia"/>
          <w:color w:val="auto"/>
          <w:sz w:val="28"/>
          <w:szCs w:val="28"/>
        </w:rPr>
        <w:t>在综合考虑学前教育事业相关主体的多样性和当前工作重点的基础上，本指南分为“一般选题目录”和“重点专项选题目录”两个部分，其中：“一般选题目录”针对学前教育师范院校（含高等院校、高职高专及中职中专）教师和教研科研人员、学前教育行政管理干部、幼儿园园长和教师等群体的工作实际，提出了一系列适宜的选题；“重点专项选题目录”针对湖南省贯彻《3-</w:t>
      </w:r>
      <w:r>
        <w:rPr>
          <w:rFonts w:asciiTheme="minorEastAsia" w:hAnsiTheme="minorEastAsia"/>
          <w:color w:val="auto"/>
          <w:sz w:val="28"/>
          <w:szCs w:val="28"/>
        </w:rPr>
        <w:t>6</w:t>
      </w:r>
      <w:r>
        <w:rPr>
          <w:rFonts w:hint="eastAsia" w:asciiTheme="minorEastAsia" w:hAnsiTheme="minorEastAsia"/>
          <w:color w:val="auto"/>
          <w:sz w:val="28"/>
          <w:szCs w:val="28"/>
        </w:rPr>
        <w:t>岁儿童学习与发展指南》实验的后续拓展工作提出了一系列选题。请各申报单位或个人根据实际情况确定选题进行申报。课题名称可以从本指南中直接选定某个选题，也可以将本指南中某个选题从某个层面进行深入挖掘后适当加以修改，还可以基于以往的研究基础和当下的实际问题，结合实际能力与条件自拟选题进行申报。</w:t>
      </w:r>
    </w:p>
    <w:p>
      <w:pPr>
        <w:pStyle w:val="6"/>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left="141" w:leftChars="67" w:firstLine="562" w:firstLineChars="200"/>
        <w:jc w:val="left"/>
        <w:textAlignment w:val="auto"/>
        <w:rPr>
          <w:rFonts w:hint="eastAsia" w:asciiTheme="minorEastAsia" w:hAnsiTheme="minorEastAsia" w:eastAsiaTheme="minorEastAsia" w:cstheme="minorBidi"/>
          <w:b/>
          <w:bCs/>
          <w:color w:val="auto"/>
          <w:kern w:val="2"/>
          <w:sz w:val="28"/>
          <w:szCs w:val="28"/>
          <w:lang w:val="en-US" w:eastAsia="zh-CN" w:bidi="ar-SA"/>
        </w:rPr>
      </w:pPr>
    </w:p>
    <w:p>
      <w:pPr>
        <w:pStyle w:val="6"/>
        <w:keepNext w:val="0"/>
        <w:keepLines w:val="0"/>
        <w:pageBreakBefore w:val="0"/>
        <w:shd w:val="clear" w:color="auto" w:fill="FFFFFF"/>
        <w:kinsoku/>
        <w:wordWrap/>
        <w:overflowPunct/>
        <w:topLinePunct w:val="0"/>
        <w:autoSpaceDE/>
        <w:autoSpaceDN/>
        <w:bidi w:val="0"/>
        <w:spacing w:before="0" w:beforeAutospacing="0" w:after="0" w:afterAutospacing="0" w:line="480" w:lineRule="exact"/>
        <w:ind w:left="141" w:leftChars="67" w:firstLine="562" w:firstLineChars="200"/>
        <w:jc w:val="left"/>
        <w:textAlignment w:val="auto"/>
        <w:rPr>
          <w:rFonts w:hint="eastAsia" w:asciiTheme="minorEastAsia" w:hAnsiTheme="minorEastAsia" w:eastAsiaTheme="minorEastAsia" w:cstheme="minorBidi"/>
          <w:b/>
          <w:bCs/>
          <w:color w:val="auto"/>
          <w:kern w:val="2"/>
          <w:sz w:val="28"/>
          <w:szCs w:val="28"/>
          <w:lang w:val="en-US" w:eastAsia="zh-CN" w:bidi="ar-SA"/>
        </w:rPr>
      </w:pPr>
      <w:r>
        <w:rPr>
          <w:rFonts w:hint="eastAsia" w:asciiTheme="minorEastAsia" w:hAnsiTheme="minorEastAsia" w:eastAsiaTheme="minorEastAsia" w:cstheme="minorBidi"/>
          <w:b/>
          <w:bCs/>
          <w:color w:val="auto"/>
          <w:kern w:val="2"/>
          <w:sz w:val="28"/>
          <w:szCs w:val="28"/>
          <w:lang w:val="en-US" w:eastAsia="zh-CN" w:bidi="ar-SA"/>
        </w:rPr>
        <w:t>二、一般选题目录</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hint="eastAsia" w:asciiTheme="minorEastAsia" w:hAnsiTheme="minorEastAsia"/>
          <w:color w:val="auto"/>
          <w:sz w:val="28"/>
          <w:szCs w:val="28"/>
        </w:rPr>
      </w:pPr>
      <w:r>
        <w:rPr>
          <w:rFonts w:hint="eastAsia" w:asciiTheme="minorEastAsia" w:hAnsiTheme="minorEastAsia" w:eastAsiaTheme="minorEastAsia" w:cstheme="minorBidi"/>
          <w:color w:val="auto"/>
          <w:kern w:val="2"/>
          <w:sz w:val="28"/>
          <w:szCs w:val="28"/>
          <w:lang w:val="en-US" w:eastAsia="zh-CN" w:bidi="ar-SA"/>
        </w:rPr>
        <w:t>（一）党建引领学</w:t>
      </w:r>
      <w:r>
        <w:rPr>
          <w:rFonts w:hint="eastAsia" w:asciiTheme="minorEastAsia" w:hAnsiTheme="minorEastAsia"/>
          <w:color w:val="auto"/>
          <w:sz w:val="28"/>
          <w:szCs w:val="28"/>
          <w:lang w:val="en-US" w:eastAsia="zh-CN"/>
        </w:rPr>
        <w:t>前教</w:t>
      </w:r>
      <w:r>
        <w:rPr>
          <w:rFonts w:hint="eastAsia" w:asciiTheme="minorEastAsia" w:hAnsiTheme="minorEastAsia"/>
          <w:color w:val="auto"/>
          <w:sz w:val="28"/>
          <w:szCs w:val="28"/>
        </w:rPr>
        <w:t>育发展</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.社会主义核心价值观融入幼儿园课程研究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w:t>
      </w:r>
      <w:r>
        <w:rPr>
          <w:rFonts w:hint="eastAsia" w:asciiTheme="minorEastAsia" w:hAnsiTheme="minorEastAsia"/>
          <w:color w:val="auto"/>
          <w:sz w:val="28"/>
          <w:szCs w:val="28"/>
        </w:rPr>
        <w:t>.新时代学前儿童劳动精神培育路径研究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3</w:t>
      </w:r>
      <w:r>
        <w:rPr>
          <w:rFonts w:hint="eastAsia" w:asciiTheme="minorEastAsia" w:hAnsiTheme="minorEastAsia"/>
          <w:color w:val="auto"/>
          <w:sz w:val="28"/>
          <w:szCs w:val="28"/>
        </w:rPr>
        <w:t>.立德树人背景下学前儿童德育教育研究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4</w:t>
      </w:r>
      <w:r>
        <w:rPr>
          <w:rFonts w:hint="eastAsia" w:asciiTheme="minorEastAsia" w:hAnsiTheme="minorEastAsia"/>
          <w:color w:val="auto"/>
          <w:sz w:val="28"/>
          <w:szCs w:val="28"/>
        </w:rPr>
        <w:t>.新时代学前儿童爱国主义教育研究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5.红色基因在学前教育中的有效传承研究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6.向幼儿讲好百年红色故事的实践研究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7.学前教育专业课程中开展课程思政教育的实践研究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8.“四有”好老师视角下新时代学前教育专业人才培养研究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9.幼儿园“四有”好老师队伍建设研究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10.社会主义核心价值观引领幼儿园文化建设的实践研究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left"/>
        <w:textAlignment w:val="auto"/>
        <w:outlineLvl w:val="3"/>
        <w:rPr>
          <w:rFonts w:asciiTheme="minorEastAsia" w:hAnsiTheme="minorEastAsia"/>
          <w:color w:val="auto"/>
          <w:sz w:val="28"/>
          <w:szCs w:val="28"/>
        </w:rPr>
      </w:pPr>
      <w:r>
        <w:rPr>
          <w:rFonts w:hint="eastAsia" w:asciiTheme="minorEastAsia" w:hAnsiTheme="minorEastAsia"/>
          <w:b/>
          <w:bCs/>
          <w:color w:val="auto"/>
          <w:sz w:val="28"/>
          <w:szCs w:val="28"/>
        </w:rPr>
        <w:t>（二）师幼健康促进与健康教育</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幼儿动作发展的关键经验与教育活动设计研究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w:t>
      </w:r>
      <w:r>
        <w:rPr>
          <w:rFonts w:hint="eastAsia" w:asciiTheme="minorEastAsia" w:hAnsiTheme="minorEastAsia"/>
          <w:color w:val="auto"/>
          <w:sz w:val="28"/>
          <w:szCs w:val="28"/>
        </w:rPr>
        <w:t>幼儿生活自理能力养成的策略研究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3.</w:t>
      </w:r>
      <w:r>
        <w:rPr>
          <w:rFonts w:hint="eastAsia" w:asciiTheme="minorEastAsia" w:hAnsiTheme="minorEastAsia"/>
          <w:color w:val="auto"/>
          <w:sz w:val="28"/>
          <w:szCs w:val="28"/>
        </w:rPr>
        <w:t>幼儿良好生活习惯养成研究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4.</w:t>
      </w:r>
      <w:r>
        <w:rPr>
          <w:rFonts w:hint="eastAsia" w:asciiTheme="minorEastAsia" w:hAnsiTheme="minorEastAsia"/>
          <w:color w:val="auto"/>
          <w:sz w:val="28"/>
          <w:szCs w:val="28"/>
        </w:rPr>
        <w:t>幼儿心理健康行为与心理健康教育研究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5.</w:t>
      </w:r>
      <w:r>
        <w:rPr>
          <w:rFonts w:hint="eastAsia" w:asciiTheme="minorEastAsia" w:hAnsiTheme="minorEastAsia"/>
          <w:color w:val="auto"/>
          <w:sz w:val="28"/>
          <w:szCs w:val="28"/>
        </w:rPr>
        <w:t>教师行为对幼儿心理健康影响的研究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6.</w:t>
      </w:r>
      <w:r>
        <w:rPr>
          <w:rFonts w:hint="eastAsia" w:asciiTheme="minorEastAsia" w:hAnsiTheme="minorEastAsia"/>
          <w:color w:val="auto"/>
          <w:sz w:val="28"/>
          <w:szCs w:val="28"/>
        </w:rPr>
        <w:t>幼儿园食育的理论与实践研究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7.</w:t>
      </w:r>
      <w:r>
        <w:rPr>
          <w:rFonts w:hint="eastAsia" w:asciiTheme="minorEastAsia" w:hAnsiTheme="minorEastAsia"/>
          <w:color w:val="auto"/>
          <w:sz w:val="28"/>
          <w:szCs w:val="28"/>
        </w:rPr>
        <w:t>幼儿园体育运动的适宜性研究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8.</w:t>
      </w:r>
      <w:r>
        <w:rPr>
          <w:rFonts w:hint="eastAsia" w:asciiTheme="minorEastAsia" w:hAnsiTheme="minorEastAsia"/>
          <w:color w:val="auto"/>
          <w:sz w:val="28"/>
          <w:szCs w:val="28"/>
        </w:rPr>
        <w:t>幼儿园健康教育教研的有效推进策略研究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9.</w:t>
      </w:r>
      <w:r>
        <w:rPr>
          <w:rFonts w:hint="eastAsia" w:asciiTheme="minorEastAsia" w:hAnsiTheme="minorEastAsia"/>
          <w:color w:val="auto"/>
          <w:sz w:val="28"/>
          <w:szCs w:val="28"/>
        </w:rPr>
        <w:t>幼儿园健康教育课程资源建设研究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10.</w:t>
      </w:r>
      <w:r>
        <w:rPr>
          <w:rFonts w:hint="eastAsia" w:asciiTheme="minorEastAsia" w:hAnsiTheme="minorEastAsia"/>
          <w:color w:val="auto"/>
          <w:sz w:val="28"/>
          <w:szCs w:val="28"/>
        </w:rPr>
        <w:t>幼儿园健康教育质量评价研究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11.</w:t>
      </w:r>
      <w:r>
        <w:rPr>
          <w:rFonts w:hint="eastAsia" w:asciiTheme="minorEastAsia" w:hAnsiTheme="minorEastAsia"/>
          <w:color w:val="auto"/>
          <w:sz w:val="28"/>
          <w:szCs w:val="28"/>
        </w:rPr>
        <w:t>后疫情时代幼儿园环境卫生问题与改善策略研究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12.</w:t>
      </w:r>
      <w:r>
        <w:rPr>
          <w:rFonts w:hint="eastAsia" w:asciiTheme="minorEastAsia" w:hAnsiTheme="minorEastAsia"/>
          <w:color w:val="auto"/>
          <w:sz w:val="28"/>
          <w:szCs w:val="28"/>
        </w:rPr>
        <w:t>幼儿园保育员职业认同的现状及影响因素研究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13.</w:t>
      </w:r>
      <w:r>
        <w:rPr>
          <w:rFonts w:hint="eastAsia" w:asciiTheme="minorEastAsia" w:hAnsiTheme="minorEastAsia"/>
          <w:color w:val="auto"/>
          <w:sz w:val="28"/>
          <w:szCs w:val="28"/>
        </w:rPr>
        <w:t>后疫情时代幼儿园安全教育的理论与实践研究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14.</w:t>
      </w:r>
      <w:r>
        <w:rPr>
          <w:rFonts w:hint="eastAsia" w:asciiTheme="minorEastAsia" w:hAnsiTheme="minorEastAsia"/>
          <w:color w:val="auto"/>
          <w:sz w:val="28"/>
          <w:szCs w:val="28"/>
        </w:rPr>
        <w:t>幼儿园教师职业幸福感研究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15.</w:t>
      </w:r>
      <w:r>
        <w:rPr>
          <w:rFonts w:hint="eastAsia" w:asciiTheme="minorEastAsia" w:hAnsiTheme="minorEastAsia"/>
          <w:color w:val="auto"/>
          <w:sz w:val="28"/>
          <w:szCs w:val="28"/>
        </w:rPr>
        <w:t>幼儿园教师健康教育素养研究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16.</w:t>
      </w:r>
      <w:r>
        <w:rPr>
          <w:rFonts w:hint="eastAsia" w:asciiTheme="minorEastAsia" w:hAnsiTheme="minorEastAsia"/>
          <w:color w:val="auto"/>
          <w:sz w:val="28"/>
          <w:szCs w:val="28"/>
        </w:rPr>
        <w:t>幼儿园保育教师专业发展研究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17.农村学前留守儿童心理健康研究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18.</w:t>
      </w:r>
      <w:r>
        <w:rPr>
          <w:rFonts w:asciiTheme="minorEastAsia" w:hAnsiTheme="minorEastAsia"/>
          <w:color w:val="auto"/>
          <w:sz w:val="28"/>
          <w:szCs w:val="28"/>
        </w:rPr>
        <w:t>幼儿健康领域核心经验与教育支持策略的研究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19.</w:t>
      </w:r>
      <w:r>
        <w:rPr>
          <w:rFonts w:asciiTheme="minorEastAsia" w:hAnsiTheme="minorEastAsia"/>
          <w:color w:val="auto"/>
          <w:sz w:val="28"/>
          <w:szCs w:val="28"/>
        </w:rPr>
        <w:t>幼儿生活习惯与生活能力培养策略的研究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20.</w:t>
      </w:r>
      <w:r>
        <w:rPr>
          <w:rFonts w:asciiTheme="minorEastAsia" w:hAnsiTheme="minorEastAsia"/>
          <w:color w:val="auto"/>
          <w:sz w:val="28"/>
          <w:szCs w:val="28"/>
        </w:rPr>
        <w:t>幼儿园户外体育活动环境创设的研究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21.</w:t>
      </w:r>
      <w:r>
        <w:rPr>
          <w:rFonts w:asciiTheme="minorEastAsia" w:hAnsiTheme="minorEastAsia"/>
          <w:color w:val="auto"/>
          <w:sz w:val="28"/>
          <w:szCs w:val="28"/>
        </w:rPr>
        <w:t>幼儿园户外体育活动材料的研究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22.</w:t>
      </w:r>
      <w:r>
        <w:rPr>
          <w:rFonts w:asciiTheme="minorEastAsia" w:hAnsiTheme="minorEastAsia"/>
          <w:color w:val="auto"/>
          <w:sz w:val="28"/>
          <w:szCs w:val="28"/>
        </w:rPr>
        <w:t>幼儿园安全教育的研究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23.</w:t>
      </w:r>
      <w:r>
        <w:rPr>
          <w:rFonts w:asciiTheme="minorEastAsia" w:hAnsiTheme="minorEastAsia"/>
          <w:color w:val="auto"/>
          <w:sz w:val="28"/>
          <w:szCs w:val="28"/>
        </w:rPr>
        <w:t>幼儿园卫生保健及保育工作的研究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24.</w:t>
      </w:r>
      <w:r>
        <w:rPr>
          <w:rFonts w:asciiTheme="minorEastAsia" w:hAnsiTheme="minorEastAsia"/>
          <w:color w:val="auto"/>
          <w:sz w:val="28"/>
          <w:szCs w:val="28"/>
        </w:rPr>
        <w:t>促进幼儿体能发展的研究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w:t>
      </w:r>
      <w:r>
        <w:rPr>
          <w:rFonts w:asciiTheme="minorEastAsia" w:hAnsiTheme="minorEastAsia"/>
          <w:color w:val="auto"/>
          <w:sz w:val="28"/>
          <w:szCs w:val="28"/>
        </w:rPr>
        <w:t>5.</w:t>
      </w:r>
      <w:r>
        <w:rPr>
          <w:rFonts w:hint="eastAsia" w:asciiTheme="minorEastAsia" w:hAnsiTheme="minorEastAsia"/>
          <w:color w:val="auto"/>
          <w:sz w:val="28"/>
          <w:szCs w:val="28"/>
        </w:rPr>
        <w:t>基于湖南乡土文化的幼儿健康教育研究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left"/>
        <w:textAlignment w:val="auto"/>
        <w:outlineLvl w:val="3"/>
        <w:rPr>
          <w:rFonts w:asciiTheme="minorEastAsia" w:hAnsiTheme="minorEastAsia"/>
          <w:b/>
          <w:color w:val="auto"/>
          <w:sz w:val="28"/>
          <w:szCs w:val="28"/>
        </w:rPr>
      </w:pPr>
      <w:r>
        <w:rPr>
          <w:rFonts w:hint="eastAsia" w:asciiTheme="minorEastAsia" w:hAnsiTheme="minorEastAsia"/>
          <w:b/>
          <w:color w:val="auto"/>
          <w:sz w:val="28"/>
          <w:szCs w:val="28"/>
        </w:rPr>
        <w:t>（三）</w:t>
      </w:r>
      <w:r>
        <w:rPr>
          <w:rFonts w:hint="eastAsia" w:asciiTheme="minorEastAsia" w:hAnsiTheme="minorEastAsia"/>
          <w:b/>
          <w:bCs/>
          <w:color w:val="auto"/>
          <w:sz w:val="28"/>
          <w:szCs w:val="28"/>
        </w:rPr>
        <w:t>幼儿园课程与教学</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w:t>
      </w:r>
      <w:r>
        <w:rPr>
          <w:rFonts w:asciiTheme="minorEastAsia" w:hAnsiTheme="minorEastAsia"/>
          <w:color w:val="auto"/>
          <w:sz w:val="28"/>
          <w:szCs w:val="28"/>
        </w:rPr>
        <w:t>.</w:t>
      </w:r>
      <w:r>
        <w:rPr>
          <w:rFonts w:hint="eastAsia" w:asciiTheme="minorEastAsia" w:hAnsiTheme="minorEastAsia"/>
          <w:color w:val="auto"/>
          <w:sz w:val="28"/>
          <w:szCs w:val="28"/>
        </w:rPr>
        <w:t>幼儿园课程理论与实践的湖南经验研究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w:t>
      </w:r>
      <w:r>
        <w:rPr>
          <w:rFonts w:hint="eastAsia" w:asciiTheme="minorEastAsia" w:hAnsiTheme="minorEastAsia"/>
          <w:color w:val="auto"/>
          <w:sz w:val="28"/>
          <w:szCs w:val="28"/>
        </w:rPr>
        <w:t>幼儿园生命教育有效实施策略研究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3.</w:t>
      </w:r>
      <w:r>
        <w:rPr>
          <w:rFonts w:hint="eastAsia" w:asciiTheme="minorEastAsia" w:hAnsiTheme="minorEastAsia"/>
          <w:color w:val="auto"/>
          <w:sz w:val="28"/>
          <w:szCs w:val="28"/>
        </w:rPr>
        <w:t>幼儿园课程生活化、游戏化研究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4.</w:t>
      </w:r>
      <w:r>
        <w:rPr>
          <w:rFonts w:hint="eastAsia" w:asciiTheme="minorEastAsia" w:hAnsiTheme="minorEastAsia"/>
          <w:color w:val="auto"/>
          <w:sz w:val="28"/>
          <w:szCs w:val="28"/>
        </w:rPr>
        <w:t>湖南乡土文化融入幼儿园课程的理论与实践研究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5.</w:t>
      </w:r>
      <w:r>
        <w:rPr>
          <w:rFonts w:hint="eastAsia" w:asciiTheme="minorEastAsia" w:hAnsiTheme="minorEastAsia"/>
          <w:color w:val="auto"/>
          <w:sz w:val="28"/>
          <w:szCs w:val="28"/>
        </w:rPr>
        <w:t>幼儿园项目活动的设计与实施研究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6.</w:t>
      </w:r>
      <w:r>
        <w:rPr>
          <w:rFonts w:hint="eastAsia" w:asciiTheme="minorEastAsia" w:hAnsiTheme="minorEastAsia"/>
          <w:color w:val="auto"/>
          <w:sz w:val="28"/>
          <w:szCs w:val="28"/>
        </w:rPr>
        <w:t>普惠性幼儿园课程质量提升研究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7.</w:t>
      </w:r>
      <w:r>
        <w:rPr>
          <w:rFonts w:hint="eastAsia" w:asciiTheme="minorEastAsia" w:hAnsiTheme="minorEastAsia"/>
          <w:color w:val="auto"/>
          <w:sz w:val="28"/>
          <w:szCs w:val="28"/>
        </w:rPr>
        <w:t>农村幼儿园课程质量提升研究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8.</w:t>
      </w:r>
      <w:r>
        <w:rPr>
          <w:rFonts w:hint="eastAsia" w:asciiTheme="minorEastAsia" w:hAnsiTheme="minorEastAsia"/>
          <w:color w:val="auto"/>
          <w:sz w:val="28"/>
          <w:szCs w:val="28"/>
        </w:rPr>
        <w:t>基于学习品质提升的课程实施策略研究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9.</w:t>
      </w:r>
      <w:r>
        <w:rPr>
          <w:rFonts w:hint="eastAsia" w:asciiTheme="minorEastAsia" w:hAnsiTheme="minorEastAsia"/>
          <w:color w:val="auto"/>
          <w:sz w:val="28"/>
          <w:szCs w:val="28"/>
        </w:rPr>
        <w:t>基于深度学习的课程实施策略研究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10.</w:t>
      </w:r>
      <w:r>
        <w:rPr>
          <w:rFonts w:hint="eastAsia" w:asciiTheme="minorEastAsia" w:hAnsiTheme="minorEastAsia"/>
          <w:color w:val="auto"/>
          <w:sz w:val="28"/>
          <w:szCs w:val="28"/>
        </w:rPr>
        <w:t>幼儿园课程资源筛选机制及有效性研究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11.</w:t>
      </w:r>
      <w:r>
        <w:rPr>
          <w:rFonts w:hint="eastAsia" w:asciiTheme="minorEastAsia" w:hAnsiTheme="minorEastAsia"/>
          <w:color w:val="auto"/>
          <w:sz w:val="28"/>
          <w:szCs w:val="28"/>
        </w:rPr>
        <w:t>学前儿童科学与数学学习的有效支持研究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12.</w:t>
      </w:r>
      <w:r>
        <w:rPr>
          <w:rFonts w:hint="eastAsia" w:asciiTheme="minorEastAsia" w:hAnsiTheme="minorEastAsia"/>
          <w:color w:val="auto"/>
          <w:sz w:val="28"/>
          <w:szCs w:val="28"/>
        </w:rPr>
        <w:t>幼儿园艺术教育实施的多元路径研究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13.</w:t>
      </w:r>
      <w:r>
        <w:rPr>
          <w:rFonts w:hint="eastAsia" w:asciiTheme="minorEastAsia" w:hAnsiTheme="minorEastAsia"/>
          <w:color w:val="auto"/>
          <w:sz w:val="28"/>
          <w:szCs w:val="28"/>
        </w:rPr>
        <w:t>促进幼儿阅读素养提升的幼儿园早期阅读指导策略研究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14.</w:t>
      </w:r>
      <w:r>
        <w:rPr>
          <w:rFonts w:hint="eastAsia" w:asciiTheme="minorEastAsia" w:hAnsiTheme="minorEastAsia"/>
          <w:color w:val="auto"/>
          <w:sz w:val="28"/>
          <w:szCs w:val="28"/>
        </w:rPr>
        <w:t>幼儿园与托班、小学衔接的创新研究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15.</w:t>
      </w:r>
      <w:r>
        <w:rPr>
          <w:rFonts w:hint="eastAsia" w:asciiTheme="minorEastAsia" w:hAnsiTheme="minorEastAsia"/>
          <w:color w:val="auto"/>
          <w:sz w:val="28"/>
          <w:szCs w:val="28"/>
        </w:rPr>
        <w:t>幼儿园特殊需要儿童的课程支持研究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16.</w:t>
      </w:r>
      <w:r>
        <w:rPr>
          <w:rFonts w:hint="eastAsia" w:asciiTheme="minorEastAsia" w:hAnsiTheme="minorEastAsia"/>
          <w:color w:val="auto"/>
          <w:sz w:val="28"/>
          <w:szCs w:val="28"/>
        </w:rPr>
        <w:t>课程领导视域下课程审议有效性研究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17.</w:t>
      </w:r>
      <w:r>
        <w:rPr>
          <w:rFonts w:asciiTheme="minorEastAsia" w:hAnsiTheme="minorEastAsia"/>
          <w:color w:val="auto"/>
          <w:sz w:val="28"/>
          <w:szCs w:val="28"/>
        </w:rPr>
        <w:t>一日生活中幼儿语言教育内容、教育方法研究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18.</w:t>
      </w:r>
      <w:r>
        <w:rPr>
          <w:rFonts w:asciiTheme="minorEastAsia" w:hAnsiTheme="minorEastAsia"/>
          <w:color w:val="auto"/>
          <w:sz w:val="28"/>
          <w:szCs w:val="28"/>
        </w:rPr>
        <w:t>游戏中的幼儿语言发展与支持策略研究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19.</w:t>
      </w:r>
      <w:r>
        <w:rPr>
          <w:rFonts w:asciiTheme="minorEastAsia" w:hAnsiTheme="minorEastAsia"/>
          <w:color w:val="auto"/>
          <w:sz w:val="28"/>
          <w:szCs w:val="28"/>
        </w:rPr>
        <w:t>各类型语言教育活动的设计与实施研究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20.</w:t>
      </w:r>
      <w:r>
        <w:rPr>
          <w:rFonts w:asciiTheme="minorEastAsia" w:hAnsiTheme="minorEastAsia"/>
          <w:color w:val="auto"/>
          <w:sz w:val="28"/>
          <w:szCs w:val="28"/>
        </w:rPr>
        <w:t>幼儿园语言教育环境创设研究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21.</w:t>
      </w:r>
      <w:r>
        <w:rPr>
          <w:rFonts w:asciiTheme="minorEastAsia" w:hAnsiTheme="minorEastAsia"/>
          <w:color w:val="auto"/>
          <w:sz w:val="28"/>
          <w:szCs w:val="28"/>
        </w:rPr>
        <w:t>幼儿语言领域核心经验与教育支持策略的研究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22.</w:t>
      </w:r>
      <w:r>
        <w:rPr>
          <w:rFonts w:asciiTheme="minorEastAsia" w:hAnsiTheme="minorEastAsia"/>
          <w:color w:val="auto"/>
          <w:sz w:val="28"/>
          <w:szCs w:val="28"/>
        </w:rPr>
        <w:t>幼儿语言发展的评价研究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23.</w:t>
      </w:r>
      <w:r>
        <w:rPr>
          <w:rFonts w:asciiTheme="minorEastAsia" w:hAnsiTheme="minorEastAsia"/>
          <w:color w:val="auto"/>
          <w:sz w:val="28"/>
          <w:szCs w:val="28"/>
        </w:rPr>
        <w:t>各年龄幼儿倾听与表达能力发展特点及培养策略</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24.</w:t>
      </w:r>
      <w:r>
        <w:rPr>
          <w:rFonts w:asciiTheme="minorEastAsia" w:hAnsiTheme="minorEastAsia"/>
          <w:color w:val="auto"/>
          <w:sz w:val="28"/>
          <w:szCs w:val="28"/>
        </w:rPr>
        <w:t>各年龄幼儿文学语言发展特点及培养策略研究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25.</w:t>
      </w:r>
      <w:r>
        <w:rPr>
          <w:rFonts w:asciiTheme="minorEastAsia" w:hAnsiTheme="minorEastAsia"/>
          <w:color w:val="auto"/>
          <w:sz w:val="28"/>
          <w:szCs w:val="28"/>
        </w:rPr>
        <w:t>不同类型阅读材料在幼儿园教育中的运用研究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26.</w:t>
      </w:r>
      <w:r>
        <w:rPr>
          <w:rFonts w:asciiTheme="minorEastAsia" w:hAnsiTheme="minorEastAsia"/>
          <w:color w:val="auto"/>
          <w:sz w:val="28"/>
          <w:szCs w:val="28"/>
        </w:rPr>
        <w:t>幼儿前书写、前识字能力发展特点及培养策略研究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27.</w:t>
      </w:r>
      <w:r>
        <w:rPr>
          <w:rFonts w:asciiTheme="minorEastAsia" w:hAnsiTheme="minorEastAsia"/>
          <w:color w:val="auto"/>
          <w:sz w:val="28"/>
          <w:szCs w:val="28"/>
        </w:rPr>
        <w:t>幼儿社会领域核心经验与教育支持策略的研究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28.</w:t>
      </w:r>
      <w:r>
        <w:rPr>
          <w:rFonts w:asciiTheme="minorEastAsia" w:hAnsiTheme="minorEastAsia"/>
          <w:color w:val="auto"/>
          <w:sz w:val="28"/>
          <w:szCs w:val="28"/>
        </w:rPr>
        <w:t>幼儿社会性发展评价研究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29.</w:t>
      </w:r>
      <w:r>
        <w:rPr>
          <w:rFonts w:asciiTheme="minorEastAsia" w:hAnsiTheme="minorEastAsia"/>
          <w:color w:val="auto"/>
          <w:sz w:val="28"/>
          <w:szCs w:val="28"/>
        </w:rPr>
        <w:t>幼儿社会活动质量评价研究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30.</w:t>
      </w:r>
      <w:r>
        <w:rPr>
          <w:rFonts w:asciiTheme="minorEastAsia" w:hAnsiTheme="minorEastAsia"/>
          <w:color w:val="auto"/>
          <w:sz w:val="28"/>
          <w:szCs w:val="28"/>
        </w:rPr>
        <w:t>幼儿亲社会行为发展特点及培养策略研究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31.</w:t>
      </w:r>
      <w:r>
        <w:rPr>
          <w:rFonts w:asciiTheme="minorEastAsia" w:hAnsiTheme="minorEastAsia"/>
          <w:color w:val="auto"/>
          <w:sz w:val="28"/>
          <w:szCs w:val="28"/>
        </w:rPr>
        <w:t>幼儿规则认知、规则执行特点及培养策略的研究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32.</w:t>
      </w:r>
      <w:r>
        <w:rPr>
          <w:rFonts w:asciiTheme="minorEastAsia" w:hAnsiTheme="minorEastAsia"/>
          <w:color w:val="auto"/>
          <w:sz w:val="28"/>
          <w:szCs w:val="28"/>
        </w:rPr>
        <w:t>幼儿园社会领域教育创新形式（方法、途径、策略等）研究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33.</w:t>
      </w:r>
      <w:r>
        <w:rPr>
          <w:rFonts w:asciiTheme="minorEastAsia" w:hAnsiTheme="minorEastAsia"/>
          <w:color w:val="auto"/>
          <w:sz w:val="28"/>
          <w:szCs w:val="28"/>
        </w:rPr>
        <w:t>幼儿科学领域核心经验与教育支持策略的研究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34.</w:t>
      </w:r>
      <w:r>
        <w:rPr>
          <w:rFonts w:asciiTheme="minorEastAsia" w:hAnsiTheme="minorEastAsia"/>
          <w:color w:val="auto"/>
          <w:sz w:val="28"/>
          <w:szCs w:val="28"/>
        </w:rPr>
        <w:t>幼儿科学发展评价研究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35.</w:t>
      </w:r>
      <w:r>
        <w:rPr>
          <w:rFonts w:asciiTheme="minorEastAsia" w:hAnsiTheme="minorEastAsia"/>
          <w:color w:val="auto"/>
          <w:sz w:val="28"/>
          <w:szCs w:val="28"/>
        </w:rPr>
        <w:t>幼儿科学活动质量评价研究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36.</w:t>
      </w:r>
      <w:r>
        <w:rPr>
          <w:rFonts w:asciiTheme="minorEastAsia" w:hAnsiTheme="minorEastAsia"/>
          <w:color w:val="auto"/>
          <w:sz w:val="28"/>
          <w:szCs w:val="28"/>
        </w:rPr>
        <w:t>幼儿科学探究特点及培养策略的研究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37.</w:t>
      </w:r>
      <w:r>
        <w:rPr>
          <w:rFonts w:asciiTheme="minorEastAsia" w:hAnsiTheme="minorEastAsia"/>
          <w:color w:val="auto"/>
          <w:sz w:val="28"/>
          <w:szCs w:val="28"/>
        </w:rPr>
        <w:t>幼儿科学领域的“核心经验”及其获得方式的研究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38.</w:t>
      </w:r>
      <w:r>
        <w:rPr>
          <w:rFonts w:asciiTheme="minorEastAsia" w:hAnsiTheme="minorEastAsia"/>
          <w:color w:val="auto"/>
          <w:sz w:val="28"/>
          <w:szCs w:val="28"/>
        </w:rPr>
        <w:t>乡土资源在幼儿园科学教育中应用的研究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39.</w:t>
      </w:r>
      <w:r>
        <w:rPr>
          <w:rFonts w:asciiTheme="minorEastAsia" w:hAnsiTheme="minorEastAsia"/>
          <w:color w:val="auto"/>
          <w:sz w:val="28"/>
          <w:szCs w:val="28"/>
        </w:rPr>
        <w:t>幼儿园科学领域课程游戏化实践探索的研究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40.</w:t>
      </w:r>
      <w:r>
        <w:rPr>
          <w:rFonts w:asciiTheme="minorEastAsia" w:hAnsiTheme="minorEastAsia"/>
          <w:color w:val="auto"/>
          <w:sz w:val="28"/>
          <w:szCs w:val="28"/>
        </w:rPr>
        <w:t>在科学（数学）活动中幼儿发展适宜性的研究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41.</w:t>
      </w:r>
      <w:r>
        <w:rPr>
          <w:rFonts w:asciiTheme="minorEastAsia" w:hAnsiTheme="minorEastAsia"/>
          <w:color w:val="auto"/>
          <w:sz w:val="28"/>
          <w:szCs w:val="28"/>
        </w:rPr>
        <w:t>幼儿数学认知特点及培养策略的研究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42.</w:t>
      </w:r>
      <w:r>
        <w:rPr>
          <w:rFonts w:asciiTheme="minorEastAsia" w:hAnsiTheme="minorEastAsia"/>
          <w:color w:val="auto"/>
          <w:sz w:val="28"/>
          <w:szCs w:val="28"/>
        </w:rPr>
        <w:t>幼儿数学思维能力培养的研究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43.</w:t>
      </w:r>
      <w:r>
        <w:rPr>
          <w:rFonts w:asciiTheme="minorEastAsia" w:hAnsiTheme="minorEastAsia"/>
          <w:color w:val="auto"/>
          <w:sz w:val="28"/>
          <w:szCs w:val="28"/>
        </w:rPr>
        <w:t>幼儿数学操作性学习及支持策略的研究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44.</w:t>
      </w:r>
      <w:r>
        <w:rPr>
          <w:rFonts w:asciiTheme="minorEastAsia" w:hAnsiTheme="minorEastAsia"/>
          <w:color w:val="auto"/>
          <w:sz w:val="28"/>
          <w:szCs w:val="28"/>
        </w:rPr>
        <w:t>幼儿数学教育生活化的研究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45.</w:t>
      </w:r>
      <w:r>
        <w:rPr>
          <w:rFonts w:asciiTheme="minorEastAsia" w:hAnsiTheme="minorEastAsia"/>
          <w:color w:val="auto"/>
          <w:sz w:val="28"/>
          <w:szCs w:val="28"/>
        </w:rPr>
        <w:t>幼儿数学游戏组织策略的研究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46.</w:t>
      </w:r>
      <w:r>
        <w:rPr>
          <w:rFonts w:asciiTheme="minorEastAsia" w:hAnsiTheme="minorEastAsia"/>
          <w:color w:val="auto"/>
          <w:sz w:val="28"/>
          <w:szCs w:val="28"/>
        </w:rPr>
        <w:t>在活动中发展幼儿逻辑思维能力的研究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47.</w:t>
      </w:r>
      <w:r>
        <w:rPr>
          <w:rFonts w:asciiTheme="minorEastAsia" w:hAnsiTheme="minorEastAsia"/>
          <w:color w:val="auto"/>
          <w:sz w:val="28"/>
          <w:szCs w:val="28"/>
        </w:rPr>
        <w:t>幼儿艺术领域核心经验与教育支持策略的研究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48.</w:t>
      </w:r>
      <w:r>
        <w:rPr>
          <w:rFonts w:asciiTheme="minorEastAsia" w:hAnsiTheme="minorEastAsia"/>
          <w:color w:val="auto"/>
          <w:sz w:val="28"/>
          <w:szCs w:val="28"/>
        </w:rPr>
        <w:t>幼儿艺术发展评价研究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49.</w:t>
      </w:r>
      <w:r>
        <w:rPr>
          <w:rFonts w:asciiTheme="minorEastAsia" w:hAnsiTheme="minorEastAsia"/>
          <w:color w:val="auto"/>
          <w:sz w:val="28"/>
          <w:szCs w:val="28"/>
        </w:rPr>
        <w:t>幼儿艺术活动质量评价研究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50.</w:t>
      </w:r>
      <w:r>
        <w:rPr>
          <w:rFonts w:asciiTheme="minorEastAsia" w:hAnsiTheme="minorEastAsia"/>
          <w:color w:val="auto"/>
          <w:sz w:val="28"/>
          <w:szCs w:val="28"/>
        </w:rPr>
        <w:t>幼儿感受与欣赏特点与支持策略的研究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51.</w:t>
      </w:r>
      <w:r>
        <w:rPr>
          <w:rFonts w:asciiTheme="minorEastAsia" w:hAnsiTheme="minorEastAsia"/>
          <w:color w:val="auto"/>
          <w:sz w:val="28"/>
          <w:szCs w:val="28"/>
        </w:rPr>
        <w:t>幼儿表现与创造特点与支持策略的研究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52.</w:t>
      </w:r>
      <w:r>
        <w:rPr>
          <w:rFonts w:asciiTheme="minorEastAsia" w:hAnsiTheme="minorEastAsia"/>
          <w:color w:val="auto"/>
          <w:sz w:val="28"/>
          <w:szCs w:val="28"/>
        </w:rPr>
        <w:t>幼儿园艺术活动游戏化的研究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53.</w:t>
      </w:r>
      <w:r>
        <w:rPr>
          <w:rFonts w:asciiTheme="minorEastAsia" w:hAnsiTheme="minorEastAsia"/>
          <w:color w:val="auto"/>
          <w:sz w:val="28"/>
          <w:szCs w:val="28"/>
        </w:rPr>
        <w:t>艺术教育渗透幼儿一日生活的研究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54.</w:t>
      </w:r>
      <w:r>
        <w:rPr>
          <w:rFonts w:asciiTheme="minorEastAsia" w:hAnsiTheme="minorEastAsia"/>
          <w:color w:val="auto"/>
          <w:sz w:val="28"/>
          <w:szCs w:val="28"/>
        </w:rPr>
        <w:t>幼儿园艺术活动资源选择与利用的策略研究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55.</w:t>
      </w:r>
      <w:r>
        <w:rPr>
          <w:rFonts w:asciiTheme="minorEastAsia" w:hAnsiTheme="minorEastAsia"/>
          <w:color w:val="auto"/>
          <w:sz w:val="28"/>
          <w:szCs w:val="28"/>
        </w:rPr>
        <w:t>不同类型艺术活动的指导策略研究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56.</w:t>
      </w:r>
      <w:r>
        <w:rPr>
          <w:rFonts w:asciiTheme="minorEastAsia" w:hAnsiTheme="minorEastAsia"/>
          <w:color w:val="auto"/>
          <w:sz w:val="28"/>
          <w:szCs w:val="28"/>
        </w:rPr>
        <w:t>幼儿艺术活动适宜性研究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57.</w:t>
      </w:r>
      <w:r>
        <w:rPr>
          <w:rFonts w:asciiTheme="minorEastAsia" w:hAnsiTheme="minorEastAsia"/>
          <w:color w:val="auto"/>
          <w:sz w:val="28"/>
          <w:szCs w:val="28"/>
        </w:rPr>
        <w:t>幼儿戏剧活动特点与支持策略的研究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w:t>
      </w:r>
      <w:r>
        <w:rPr>
          <w:rFonts w:asciiTheme="minorEastAsia" w:hAnsiTheme="minorEastAsia"/>
          <w:color w:val="auto"/>
          <w:sz w:val="28"/>
          <w:szCs w:val="28"/>
        </w:rPr>
        <w:t>8.</w:t>
      </w:r>
      <w:r>
        <w:rPr>
          <w:rFonts w:hint="eastAsia" w:asciiTheme="minorEastAsia" w:hAnsiTheme="minorEastAsia"/>
          <w:color w:val="auto"/>
          <w:sz w:val="28"/>
          <w:szCs w:val="28"/>
        </w:rPr>
        <w:t>基于湖南湘西少数民族文化的幼儿艺术教育活动研究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left"/>
        <w:textAlignment w:val="auto"/>
        <w:outlineLvl w:val="3"/>
        <w:rPr>
          <w:rFonts w:asciiTheme="minorEastAsia" w:hAnsiTheme="minorEastAsia"/>
          <w:color w:val="auto"/>
          <w:sz w:val="28"/>
          <w:szCs w:val="28"/>
        </w:rPr>
      </w:pPr>
      <w:r>
        <w:rPr>
          <w:rFonts w:hint="eastAsia" w:asciiTheme="minorEastAsia" w:hAnsiTheme="minorEastAsia"/>
          <w:b/>
          <w:bCs/>
          <w:color w:val="auto"/>
          <w:sz w:val="28"/>
          <w:szCs w:val="28"/>
        </w:rPr>
        <w:t>（四）学前教育管理</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w:t>
      </w:r>
      <w:r>
        <w:rPr>
          <w:rFonts w:asciiTheme="minorEastAsia" w:hAnsiTheme="minorEastAsia"/>
          <w:color w:val="auto"/>
          <w:sz w:val="28"/>
          <w:szCs w:val="28"/>
        </w:rPr>
        <w:t>.</w:t>
      </w:r>
      <w:r>
        <w:rPr>
          <w:rFonts w:hint="eastAsia" w:asciiTheme="minorEastAsia" w:hAnsiTheme="minorEastAsia"/>
          <w:color w:val="auto"/>
          <w:sz w:val="28"/>
          <w:szCs w:val="28"/>
        </w:rPr>
        <w:t>人口变化趋势与学前教育规划布局调整研究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w:t>
      </w:r>
      <w:r>
        <w:rPr>
          <w:rFonts w:asciiTheme="minorEastAsia" w:hAnsiTheme="minorEastAsia"/>
          <w:color w:val="auto"/>
          <w:sz w:val="28"/>
          <w:szCs w:val="28"/>
        </w:rPr>
        <w:t>.</w:t>
      </w:r>
      <w:r>
        <w:rPr>
          <w:rFonts w:hint="eastAsia" w:asciiTheme="minorEastAsia" w:hAnsiTheme="minorEastAsia"/>
          <w:color w:val="auto"/>
          <w:sz w:val="28"/>
          <w:szCs w:val="28"/>
        </w:rPr>
        <w:t>学前教育公平的制度保障研究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w:t>
      </w:r>
      <w:r>
        <w:rPr>
          <w:rFonts w:asciiTheme="minorEastAsia" w:hAnsiTheme="minorEastAsia"/>
          <w:color w:val="auto"/>
          <w:sz w:val="28"/>
          <w:szCs w:val="28"/>
        </w:rPr>
        <w:t>.</w:t>
      </w:r>
      <w:r>
        <w:rPr>
          <w:rFonts w:hint="eastAsia" w:asciiTheme="minorEastAsia" w:hAnsiTheme="minorEastAsia"/>
          <w:color w:val="auto"/>
          <w:sz w:val="28"/>
          <w:szCs w:val="28"/>
        </w:rPr>
        <w:t>城乡学前教育均衡发展问题研究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w:t>
      </w:r>
      <w:r>
        <w:rPr>
          <w:rFonts w:asciiTheme="minorEastAsia" w:hAnsiTheme="minorEastAsia"/>
          <w:color w:val="auto"/>
          <w:sz w:val="28"/>
          <w:szCs w:val="28"/>
        </w:rPr>
        <w:t>.</w:t>
      </w:r>
      <w:r>
        <w:rPr>
          <w:rFonts w:hint="eastAsia" w:asciiTheme="minorEastAsia" w:hAnsiTheme="minorEastAsia"/>
          <w:color w:val="auto"/>
          <w:sz w:val="28"/>
          <w:szCs w:val="28"/>
        </w:rPr>
        <w:t>普及普惠背景下幼儿园教育质量保障的研究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w:t>
      </w:r>
      <w:r>
        <w:rPr>
          <w:rFonts w:asciiTheme="minorEastAsia" w:hAnsiTheme="minorEastAsia"/>
          <w:color w:val="auto"/>
          <w:sz w:val="28"/>
          <w:szCs w:val="28"/>
        </w:rPr>
        <w:t>.</w:t>
      </w:r>
      <w:r>
        <w:rPr>
          <w:rFonts w:hint="eastAsia" w:asciiTheme="minorEastAsia" w:hAnsiTheme="minorEastAsia"/>
          <w:color w:val="auto"/>
          <w:sz w:val="28"/>
          <w:szCs w:val="28"/>
        </w:rPr>
        <w:t>乡村振兴背景下农村幼儿园发展的研究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6.面向社会流动人口子女的学前教育支持现状、问题与对策研究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7</w:t>
      </w:r>
      <w:r>
        <w:rPr>
          <w:rFonts w:asciiTheme="minorEastAsia" w:hAnsiTheme="minorEastAsia"/>
          <w:color w:val="auto"/>
          <w:sz w:val="28"/>
          <w:szCs w:val="28"/>
        </w:rPr>
        <w:t>.</w:t>
      </w:r>
      <w:r>
        <w:rPr>
          <w:rFonts w:hint="eastAsia" w:asciiTheme="minorEastAsia" w:hAnsiTheme="minorEastAsia"/>
          <w:color w:val="auto"/>
          <w:sz w:val="28"/>
          <w:szCs w:val="28"/>
        </w:rPr>
        <w:t>普惠性幼儿园的建设与管理策略研究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8</w:t>
      </w:r>
      <w:r>
        <w:rPr>
          <w:rFonts w:asciiTheme="minorEastAsia" w:hAnsiTheme="minorEastAsia"/>
          <w:color w:val="auto"/>
          <w:sz w:val="28"/>
          <w:szCs w:val="28"/>
        </w:rPr>
        <w:t>.</w:t>
      </w:r>
      <w:r>
        <w:rPr>
          <w:rFonts w:hint="eastAsia" w:asciiTheme="minorEastAsia" w:hAnsiTheme="minorEastAsia"/>
          <w:color w:val="auto"/>
          <w:sz w:val="28"/>
          <w:szCs w:val="28"/>
        </w:rPr>
        <w:t>普惠性幼儿园可持续发展研究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9</w:t>
      </w:r>
      <w:r>
        <w:rPr>
          <w:rFonts w:asciiTheme="minorEastAsia" w:hAnsiTheme="minorEastAsia"/>
          <w:color w:val="auto"/>
          <w:sz w:val="28"/>
          <w:szCs w:val="28"/>
        </w:rPr>
        <w:t>.</w:t>
      </w:r>
      <w:r>
        <w:rPr>
          <w:rFonts w:hint="eastAsia" w:asciiTheme="minorEastAsia" w:hAnsiTheme="minorEastAsia"/>
          <w:color w:val="auto"/>
          <w:sz w:val="28"/>
          <w:szCs w:val="28"/>
        </w:rPr>
        <w:t>社会力量办园的扶持与监管机制研究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10</w:t>
      </w:r>
      <w:r>
        <w:rPr>
          <w:rFonts w:asciiTheme="minorEastAsia" w:hAnsiTheme="minorEastAsia"/>
          <w:color w:val="auto"/>
          <w:sz w:val="28"/>
          <w:szCs w:val="28"/>
        </w:rPr>
        <w:t>.</w:t>
      </w:r>
      <w:r>
        <w:rPr>
          <w:rFonts w:hint="eastAsia" w:asciiTheme="minorEastAsia" w:hAnsiTheme="minorEastAsia"/>
          <w:color w:val="auto"/>
          <w:sz w:val="28"/>
          <w:szCs w:val="28"/>
        </w:rPr>
        <w:t>健全普惠性学前教育投入和成本分担机制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11</w:t>
      </w:r>
      <w:r>
        <w:rPr>
          <w:rFonts w:asciiTheme="minorEastAsia" w:hAnsiTheme="minorEastAsia"/>
          <w:color w:val="auto"/>
          <w:sz w:val="28"/>
          <w:szCs w:val="28"/>
        </w:rPr>
        <w:t>.</w:t>
      </w:r>
      <w:r>
        <w:rPr>
          <w:rFonts w:hint="eastAsia" w:asciiTheme="minorEastAsia" w:hAnsiTheme="minorEastAsia"/>
          <w:color w:val="auto"/>
          <w:sz w:val="28"/>
          <w:szCs w:val="28"/>
        </w:rPr>
        <w:t>幼儿园依法管理的研究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12</w:t>
      </w:r>
      <w:r>
        <w:rPr>
          <w:rFonts w:asciiTheme="minorEastAsia" w:hAnsiTheme="minorEastAsia"/>
          <w:color w:val="auto"/>
          <w:sz w:val="28"/>
          <w:szCs w:val="28"/>
        </w:rPr>
        <w:t>.</w:t>
      </w:r>
      <w:r>
        <w:rPr>
          <w:rFonts w:hint="eastAsia" w:asciiTheme="minorEastAsia" w:hAnsiTheme="minorEastAsia"/>
          <w:color w:val="auto"/>
          <w:sz w:val="28"/>
          <w:szCs w:val="28"/>
        </w:rPr>
        <w:t>幼儿园质量发展与园长领导力提升的协同共进策略研究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w:t>
      </w:r>
      <w:r>
        <w:rPr>
          <w:rFonts w:asciiTheme="minorEastAsia" w:hAnsiTheme="minorEastAsia"/>
          <w:color w:val="auto"/>
          <w:sz w:val="28"/>
          <w:szCs w:val="28"/>
        </w:rPr>
        <w:t>3.</w:t>
      </w:r>
      <w:r>
        <w:rPr>
          <w:rFonts w:hint="eastAsia" w:asciiTheme="minorEastAsia" w:hAnsiTheme="minorEastAsia"/>
          <w:color w:val="auto"/>
          <w:sz w:val="28"/>
          <w:szCs w:val="28"/>
        </w:rPr>
        <w:t>乡村振兴背景下湖南学前教育协同发展策略研究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left"/>
        <w:textAlignment w:val="auto"/>
        <w:outlineLvl w:val="3"/>
        <w:rPr>
          <w:rFonts w:asciiTheme="minorEastAsia" w:hAnsiTheme="minorEastAsia"/>
          <w:color w:val="auto"/>
          <w:sz w:val="28"/>
          <w:szCs w:val="28"/>
        </w:rPr>
      </w:pPr>
      <w:r>
        <w:rPr>
          <w:rFonts w:hint="eastAsia" w:asciiTheme="minorEastAsia" w:hAnsiTheme="minorEastAsia"/>
          <w:b/>
          <w:bCs/>
          <w:color w:val="auto"/>
          <w:sz w:val="28"/>
          <w:szCs w:val="28"/>
        </w:rPr>
        <w:t>（五）家庭、幼儿园、社区协同教育</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家庭</w:t>
      </w:r>
      <w:r>
        <w:rPr>
          <w:rFonts w:asciiTheme="minorEastAsia" w:hAnsiTheme="minorEastAsia"/>
          <w:color w:val="auto"/>
          <w:sz w:val="28"/>
          <w:szCs w:val="28"/>
        </w:rPr>
        <w:t>-</w:t>
      </w:r>
      <w:r>
        <w:rPr>
          <w:rFonts w:hint="eastAsia" w:asciiTheme="minorEastAsia" w:hAnsiTheme="minorEastAsia"/>
          <w:color w:val="auto"/>
          <w:sz w:val="28"/>
          <w:szCs w:val="28"/>
        </w:rPr>
        <w:t>幼儿园</w:t>
      </w:r>
      <w:r>
        <w:rPr>
          <w:rFonts w:asciiTheme="minorEastAsia" w:hAnsiTheme="minorEastAsia"/>
          <w:color w:val="auto"/>
          <w:sz w:val="28"/>
          <w:szCs w:val="28"/>
        </w:rPr>
        <w:t>-</w:t>
      </w:r>
      <w:r>
        <w:rPr>
          <w:rFonts w:hint="eastAsia" w:asciiTheme="minorEastAsia" w:hAnsiTheme="minorEastAsia"/>
          <w:color w:val="auto"/>
          <w:sz w:val="28"/>
          <w:szCs w:val="28"/>
        </w:rPr>
        <w:t>社区协同育人的机制与策略研究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w:t>
      </w:r>
      <w:r>
        <w:rPr>
          <w:rFonts w:hint="eastAsia" w:asciiTheme="minorEastAsia" w:hAnsiTheme="minorEastAsia"/>
          <w:color w:val="auto"/>
          <w:sz w:val="28"/>
          <w:szCs w:val="28"/>
        </w:rPr>
        <w:t>疫情背景下幼儿园</w:t>
      </w:r>
      <w:r>
        <w:rPr>
          <w:rFonts w:asciiTheme="minorEastAsia" w:hAnsiTheme="minorEastAsia"/>
          <w:color w:val="auto"/>
          <w:sz w:val="28"/>
          <w:szCs w:val="28"/>
        </w:rPr>
        <w:t>-</w:t>
      </w:r>
      <w:r>
        <w:rPr>
          <w:rFonts w:hint="eastAsia" w:asciiTheme="minorEastAsia" w:hAnsiTheme="minorEastAsia"/>
          <w:color w:val="auto"/>
          <w:sz w:val="28"/>
          <w:szCs w:val="28"/>
        </w:rPr>
        <w:t>家庭</w:t>
      </w:r>
      <w:r>
        <w:rPr>
          <w:rFonts w:asciiTheme="minorEastAsia" w:hAnsiTheme="minorEastAsia"/>
          <w:color w:val="auto"/>
          <w:sz w:val="28"/>
          <w:szCs w:val="28"/>
        </w:rPr>
        <w:t>-</w:t>
      </w:r>
      <w:r>
        <w:rPr>
          <w:rFonts w:hint="eastAsia" w:asciiTheme="minorEastAsia" w:hAnsiTheme="minorEastAsia"/>
          <w:color w:val="auto"/>
          <w:sz w:val="28"/>
          <w:szCs w:val="28"/>
        </w:rPr>
        <w:t>社会协同防疫防控研究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3.</w:t>
      </w:r>
      <w:r>
        <w:rPr>
          <w:rFonts w:hint="eastAsia" w:asciiTheme="minorEastAsia" w:hAnsiTheme="minorEastAsia"/>
          <w:color w:val="auto"/>
          <w:sz w:val="28"/>
          <w:szCs w:val="28"/>
        </w:rPr>
        <w:t>疫情背景下的家庭教育指导与服务研究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4.</w:t>
      </w:r>
      <w:r>
        <w:rPr>
          <w:rFonts w:hint="eastAsia" w:asciiTheme="minorEastAsia" w:hAnsiTheme="minorEastAsia"/>
          <w:color w:val="auto"/>
          <w:sz w:val="28"/>
          <w:szCs w:val="28"/>
        </w:rPr>
        <w:t>协同开展家庭教育援助服务与指导的研究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5.</w:t>
      </w:r>
      <w:r>
        <w:rPr>
          <w:rFonts w:hint="eastAsia" w:asciiTheme="minorEastAsia" w:hAnsiTheme="minorEastAsia"/>
          <w:color w:val="auto"/>
          <w:sz w:val="28"/>
          <w:szCs w:val="28"/>
        </w:rPr>
        <w:t>幼儿园</w:t>
      </w:r>
      <w:r>
        <w:rPr>
          <w:rFonts w:asciiTheme="minorEastAsia" w:hAnsiTheme="minorEastAsia"/>
          <w:color w:val="auto"/>
          <w:sz w:val="28"/>
          <w:szCs w:val="28"/>
        </w:rPr>
        <w:t>-</w:t>
      </w:r>
      <w:r>
        <w:rPr>
          <w:rFonts w:hint="eastAsia" w:asciiTheme="minorEastAsia" w:hAnsiTheme="minorEastAsia"/>
          <w:color w:val="auto"/>
          <w:sz w:val="28"/>
          <w:szCs w:val="28"/>
        </w:rPr>
        <w:t>家庭</w:t>
      </w:r>
      <w:r>
        <w:rPr>
          <w:rFonts w:asciiTheme="minorEastAsia" w:hAnsiTheme="minorEastAsia"/>
          <w:color w:val="auto"/>
          <w:sz w:val="28"/>
          <w:szCs w:val="28"/>
        </w:rPr>
        <w:t>-</w:t>
      </w:r>
      <w:r>
        <w:rPr>
          <w:rFonts w:hint="eastAsia" w:asciiTheme="minorEastAsia" w:hAnsiTheme="minorEastAsia"/>
          <w:color w:val="auto"/>
          <w:sz w:val="28"/>
          <w:szCs w:val="28"/>
        </w:rPr>
        <w:t>社区协同劳动教育研究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6.</w:t>
      </w:r>
      <w:r>
        <w:rPr>
          <w:rFonts w:hint="eastAsia" w:asciiTheme="minorEastAsia" w:hAnsiTheme="minorEastAsia"/>
          <w:color w:val="auto"/>
          <w:sz w:val="28"/>
          <w:szCs w:val="28"/>
        </w:rPr>
        <w:t>隔代养育的困境与支持研究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7.</w:t>
      </w:r>
      <w:r>
        <w:rPr>
          <w:rFonts w:hint="eastAsia" w:asciiTheme="minorEastAsia" w:hAnsiTheme="minorEastAsia"/>
          <w:color w:val="auto"/>
          <w:sz w:val="28"/>
          <w:szCs w:val="28"/>
        </w:rPr>
        <w:t>二胎家庭的教育问题与支持研究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8.</w:t>
      </w:r>
      <w:r>
        <w:rPr>
          <w:rFonts w:hint="eastAsia" w:asciiTheme="minorEastAsia" w:hAnsiTheme="minorEastAsia"/>
          <w:color w:val="auto"/>
          <w:sz w:val="28"/>
          <w:szCs w:val="28"/>
        </w:rPr>
        <w:t>家庭教育问题（亲职缺位、育儿教育、陪伴质量等）研究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9.困境儿童的家</w:t>
      </w:r>
      <w:r>
        <w:rPr>
          <w:rFonts w:asciiTheme="minorEastAsia" w:hAnsiTheme="minorEastAsia"/>
          <w:color w:val="auto"/>
          <w:sz w:val="28"/>
          <w:szCs w:val="28"/>
        </w:rPr>
        <w:t>-</w:t>
      </w:r>
      <w:r>
        <w:rPr>
          <w:rFonts w:hint="eastAsia" w:asciiTheme="minorEastAsia" w:hAnsiTheme="minorEastAsia"/>
          <w:color w:val="auto"/>
          <w:sz w:val="28"/>
          <w:szCs w:val="28"/>
        </w:rPr>
        <w:t>园</w:t>
      </w:r>
      <w:r>
        <w:rPr>
          <w:rFonts w:asciiTheme="minorEastAsia" w:hAnsiTheme="minorEastAsia"/>
          <w:color w:val="auto"/>
          <w:sz w:val="28"/>
          <w:szCs w:val="28"/>
        </w:rPr>
        <w:t>-</w:t>
      </w:r>
      <w:r>
        <w:rPr>
          <w:rFonts w:hint="eastAsia" w:asciiTheme="minorEastAsia" w:hAnsiTheme="minorEastAsia"/>
          <w:color w:val="auto"/>
          <w:sz w:val="28"/>
          <w:szCs w:val="28"/>
        </w:rPr>
        <w:t>社区协同与援助研究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0</w:t>
      </w:r>
      <w:r>
        <w:rPr>
          <w:rFonts w:asciiTheme="minorEastAsia" w:hAnsiTheme="minorEastAsia"/>
          <w:color w:val="auto"/>
          <w:sz w:val="28"/>
          <w:szCs w:val="28"/>
        </w:rPr>
        <w:t>.</w:t>
      </w:r>
      <w:r>
        <w:rPr>
          <w:rFonts w:hint="eastAsia" w:asciiTheme="minorEastAsia" w:hAnsiTheme="minorEastAsia"/>
          <w:color w:val="auto"/>
          <w:sz w:val="28"/>
          <w:szCs w:val="28"/>
        </w:rPr>
        <w:t>幼儿园</w:t>
      </w:r>
      <w:r>
        <w:rPr>
          <w:rFonts w:asciiTheme="minorEastAsia" w:hAnsiTheme="minorEastAsia"/>
          <w:color w:val="auto"/>
          <w:sz w:val="28"/>
          <w:szCs w:val="28"/>
        </w:rPr>
        <w:t>-</w:t>
      </w:r>
      <w:r>
        <w:rPr>
          <w:rFonts w:hint="eastAsia" w:asciiTheme="minorEastAsia" w:hAnsiTheme="minorEastAsia"/>
          <w:color w:val="auto"/>
          <w:sz w:val="28"/>
          <w:szCs w:val="28"/>
        </w:rPr>
        <w:t>家庭</w:t>
      </w:r>
      <w:r>
        <w:rPr>
          <w:rFonts w:asciiTheme="minorEastAsia" w:hAnsiTheme="minorEastAsia"/>
          <w:color w:val="auto"/>
          <w:sz w:val="28"/>
          <w:szCs w:val="28"/>
        </w:rPr>
        <w:t>-</w:t>
      </w:r>
      <w:r>
        <w:rPr>
          <w:rFonts w:hint="eastAsia" w:asciiTheme="minorEastAsia" w:hAnsiTheme="minorEastAsia"/>
          <w:color w:val="auto"/>
          <w:sz w:val="28"/>
          <w:szCs w:val="28"/>
        </w:rPr>
        <w:t>社区协同背景下幼小衔接问题研究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11.</w:t>
      </w:r>
      <w:r>
        <w:rPr>
          <w:rFonts w:hint="eastAsia" w:asciiTheme="minorEastAsia" w:hAnsiTheme="minorEastAsia"/>
          <w:color w:val="auto"/>
          <w:sz w:val="28"/>
          <w:szCs w:val="28"/>
        </w:rPr>
        <w:t>农村留守儿童社会保障支持系统研究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2</w:t>
      </w:r>
      <w:r>
        <w:rPr>
          <w:rFonts w:asciiTheme="minorEastAsia" w:hAnsiTheme="minorEastAsia"/>
          <w:color w:val="auto"/>
          <w:sz w:val="28"/>
          <w:szCs w:val="28"/>
        </w:rPr>
        <w:t>.</w:t>
      </w:r>
      <w:r>
        <w:rPr>
          <w:rFonts w:hint="eastAsia" w:asciiTheme="minorEastAsia" w:hAnsiTheme="minorEastAsia"/>
          <w:color w:val="auto"/>
          <w:sz w:val="28"/>
          <w:szCs w:val="28"/>
        </w:rPr>
        <w:t>幼儿园教师的家庭教育指导策略研究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left"/>
        <w:textAlignment w:val="auto"/>
        <w:outlineLvl w:val="3"/>
        <w:rPr>
          <w:rFonts w:asciiTheme="minorEastAsia" w:hAnsiTheme="minorEastAsia"/>
          <w:b/>
          <w:bCs/>
          <w:color w:val="auto"/>
          <w:sz w:val="28"/>
          <w:szCs w:val="28"/>
        </w:rPr>
      </w:pPr>
      <w:r>
        <w:rPr>
          <w:rFonts w:hint="eastAsia" w:asciiTheme="minorEastAsia" w:hAnsiTheme="minorEastAsia"/>
          <w:b/>
          <w:bCs/>
          <w:color w:val="auto"/>
          <w:sz w:val="28"/>
          <w:szCs w:val="28"/>
        </w:rPr>
        <w:t>（六）游戏与玩具研究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儿童游戏权利保护研究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w:t>
      </w:r>
      <w:r>
        <w:rPr>
          <w:rFonts w:hint="eastAsia" w:asciiTheme="minorEastAsia" w:hAnsiTheme="minorEastAsia"/>
          <w:color w:val="auto"/>
          <w:sz w:val="28"/>
          <w:szCs w:val="28"/>
        </w:rPr>
        <w:t>在游戏中培养学习品质的实践研究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3.</w:t>
      </w:r>
      <w:r>
        <w:rPr>
          <w:rFonts w:hint="eastAsia" w:asciiTheme="minorEastAsia" w:hAnsiTheme="minorEastAsia"/>
          <w:color w:val="auto"/>
          <w:sz w:val="28"/>
          <w:szCs w:val="28"/>
        </w:rPr>
        <w:t>游戏中的深度学习研究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4.</w:t>
      </w:r>
      <w:r>
        <w:rPr>
          <w:rFonts w:hint="eastAsia" w:asciiTheme="minorEastAsia" w:hAnsiTheme="minorEastAsia"/>
          <w:color w:val="auto"/>
          <w:sz w:val="28"/>
          <w:szCs w:val="28"/>
        </w:rPr>
        <w:t>幼儿园游戏环境创设的有效性研究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5.</w:t>
      </w:r>
      <w:r>
        <w:rPr>
          <w:rFonts w:hint="eastAsia" w:asciiTheme="minorEastAsia" w:hAnsiTheme="minorEastAsia"/>
          <w:color w:val="auto"/>
          <w:sz w:val="28"/>
          <w:szCs w:val="28"/>
        </w:rPr>
        <w:t>游戏材料投放的适宜性研究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6.</w:t>
      </w:r>
      <w:r>
        <w:rPr>
          <w:rFonts w:hint="eastAsia" w:asciiTheme="minorEastAsia" w:hAnsiTheme="minorEastAsia"/>
          <w:color w:val="auto"/>
          <w:sz w:val="28"/>
          <w:szCs w:val="28"/>
        </w:rPr>
        <w:t>支持不同类型游戏开展的材料投放策略研究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7.</w:t>
      </w:r>
      <w:r>
        <w:rPr>
          <w:rFonts w:hint="eastAsia" w:asciiTheme="minorEastAsia" w:hAnsiTheme="minorEastAsia"/>
          <w:color w:val="auto"/>
          <w:sz w:val="28"/>
          <w:szCs w:val="28"/>
        </w:rPr>
        <w:t>低成本有质量幼儿园环境创设研究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8.</w:t>
      </w:r>
      <w:r>
        <w:rPr>
          <w:rFonts w:hint="eastAsia" w:asciiTheme="minorEastAsia" w:hAnsiTheme="minorEastAsia"/>
          <w:color w:val="auto"/>
          <w:sz w:val="28"/>
          <w:szCs w:val="28"/>
        </w:rPr>
        <w:t>幼儿亲自然游戏材料研究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9.</w:t>
      </w:r>
      <w:r>
        <w:rPr>
          <w:rFonts w:hint="eastAsia" w:asciiTheme="minorEastAsia" w:hAnsiTheme="minorEastAsia"/>
          <w:color w:val="auto"/>
          <w:sz w:val="28"/>
          <w:szCs w:val="28"/>
        </w:rPr>
        <w:t>利用本土资源开发、制作教玩具的研究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10.</w:t>
      </w:r>
      <w:r>
        <w:rPr>
          <w:rFonts w:hint="eastAsia" w:asciiTheme="minorEastAsia" w:hAnsiTheme="minorEastAsia"/>
          <w:color w:val="auto"/>
          <w:sz w:val="28"/>
          <w:szCs w:val="28"/>
        </w:rPr>
        <w:t>游戏中幼儿学习与发展的观察、评估与支持研究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11.</w:t>
      </w:r>
      <w:r>
        <w:rPr>
          <w:rFonts w:hint="eastAsia" w:asciiTheme="minorEastAsia" w:hAnsiTheme="minorEastAsia"/>
          <w:color w:val="auto"/>
          <w:sz w:val="28"/>
          <w:szCs w:val="28"/>
        </w:rPr>
        <w:t>有特殊需要儿童的游戏观察及其支持研究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12.</w:t>
      </w:r>
      <w:r>
        <w:rPr>
          <w:rFonts w:hint="eastAsia" w:asciiTheme="minorEastAsia" w:hAnsiTheme="minorEastAsia"/>
          <w:color w:val="auto"/>
          <w:sz w:val="28"/>
          <w:szCs w:val="28"/>
        </w:rPr>
        <w:t>自主游戏中教师的角色研究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13.</w:t>
      </w:r>
      <w:r>
        <w:rPr>
          <w:rFonts w:hint="eastAsia" w:asciiTheme="minorEastAsia" w:hAnsiTheme="minorEastAsia"/>
          <w:color w:val="auto"/>
          <w:sz w:val="28"/>
          <w:szCs w:val="28"/>
        </w:rPr>
        <w:t>基于儿童发展需求的民间游戏开展研究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14.</w:t>
      </w:r>
      <w:r>
        <w:rPr>
          <w:rFonts w:hint="eastAsia" w:asciiTheme="minorEastAsia" w:hAnsiTheme="minorEastAsia"/>
          <w:color w:val="auto"/>
          <w:sz w:val="28"/>
          <w:szCs w:val="28"/>
        </w:rPr>
        <w:t>混龄游戏中的学习、发展与支持研究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15.</w:t>
      </w:r>
      <w:r>
        <w:rPr>
          <w:rFonts w:hint="eastAsia" w:asciiTheme="minorEastAsia" w:hAnsiTheme="minorEastAsia"/>
          <w:color w:val="auto"/>
          <w:sz w:val="28"/>
          <w:szCs w:val="28"/>
        </w:rPr>
        <w:t>不同年龄段幼儿游戏特点及其支持的研究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16.</w:t>
      </w:r>
      <w:r>
        <w:rPr>
          <w:rFonts w:hint="eastAsia" w:asciiTheme="minorEastAsia" w:hAnsiTheme="minorEastAsia"/>
          <w:color w:val="auto"/>
          <w:sz w:val="28"/>
          <w:szCs w:val="28"/>
        </w:rPr>
        <w:t>游戏与幼儿园教师专业发展研究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17.“</w:t>
      </w:r>
      <w:r>
        <w:rPr>
          <w:rFonts w:hint="eastAsia" w:asciiTheme="minorEastAsia" w:hAnsiTheme="minorEastAsia"/>
          <w:color w:val="auto"/>
          <w:sz w:val="28"/>
          <w:szCs w:val="28"/>
        </w:rPr>
        <w:t>安吉游戏</w:t>
      </w:r>
      <w:r>
        <w:rPr>
          <w:rFonts w:asciiTheme="minorEastAsia" w:hAnsiTheme="minorEastAsia"/>
          <w:color w:val="auto"/>
          <w:sz w:val="28"/>
          <w:szCs w:val="28"/>
        </w:rPr>
        <w:t>”</w:t>
      </w:r>
      <w:r>
        <w:rPr>
          <w:rFonts w:hint="eastAsia" w:asciiTheme="minorEastAsia" w:hAnsiTheme="minorEastAsia"/>
          <w:color w:val="auto"/>
          <w:sz w:val="28"/>
          <w:szCs w:val="28"/>
        </w:rPr>
        <w:t>推广中出现的典型问题及其解决策略研究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18</w:t>
      </w:r>
      <w:r>
        <w:rPr>
          <w:rFonts w:asciiTheme="minorEastAsia" w:hAnsiTheme="minorEastAsia"/>
          <w:color w:val="auto"/>
          <w:sz w:val="28"/>
          <w:szCs w:val="28"/>
        </w:rPr>
        <w:t>.幼儿园游戏环境设置与规划研究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19</w:t>
      </w:r>
      <w:r>
        <w:rPr>
          <w:rFonts w:asciiTheme="minorEastAsia" w:hAnsiTheme="minorEastAsia"/>
          <w:color w:val="auto"/>
          <w:sz w:val="28"/>
          <w:szCs w:val="28"/>
        </w:rPr>
        <w:t>.游戏资源（传统游戏、本土游戏、民间游戏等）的挖掘、利用与创新的研究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20</w:t>
      </w:r>
      <w:r>
        <w:rPr>
          <w:rFonts w:asciiTheme="minorEastAsia" w:hAnsiTheme="minorEastAsia"/>
          <w:color w:val="auto"/>
          <w:sz w:val="28"/>
          <w:szCs w:val="28"/>
        </w:rPr>
        <w:t>.游戏中幼儿学习、发展评估与支持策略研究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21.</w:t>
      </w:r>
      <w:r>
        <w:rPr>
          <w:rFonts w:asciiTheme="minorEastAsia" w:hAnsiTheme="minorEastAsia"/>
          <w:color w:val="auto"/>
          <w:sz w:val="28"/>
          <w:szCs w:val="28"/>
        </w:rPr>
        <w:t>不同区域游戏材料与游戏行为、经验获得的关系研究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w:t>
      </w:r>
      <w:r>
        <w:rPr>
          <w:rFonts w:asciiTheme="minorEastAsia" w:hAnsiTheme="minorEastAsia"/>
          <w:color w:val="auto"/>
          <w:sz w:val="28"/>
          <w:szCs w:val="28"/>
        </w:rPr>
        <w:t>2.特殊需要儿童的游戏及支持策略研究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w:t>
      </w:r>
      <w:r>
        <w:rPr>
          <w:rFonts w:asciiTheme="minorEastAsia" w:hAnsiTheme="minorEastAsia"/>
          <w:color w:val="auto"/>
          <w:sz w:val="28"/>
          <w:szCs w:val="28"/>
        </w:rPr>
        <w:t>5.</w:t>
      </w:r>
      <w:r>
        <w:rPr>
          <w:rFonts w:hint="eastAsia" w:asciiTheme="minorEastAsia" w:hAnsiTheme="minorEastAsia"/>
          <w:color w:val="auto"/>
          <w:sz w:val="28"/>
          <w:szCs w:val="28"/>
        </w:rPr>
        <w:t>基于湖南乡土文化的幼儿游戏及玩教具资源研究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left"/>
        <w:textAlignment w:val="auto"/>
        <w:outlineLvl w:val="3"/>
        <w:rPr>
          <w:rFonts w:asciiTheme="minorEastAsia" w:hAnsiTheme="minorEastAsia"/>
          <w:color w:val="auto"/>
          <w:sz w:val="28"/>
          <w:szCs w:val="28"/>
        </w:rPr>
      </w:pPr>
      <w:r>
        <w:rPr>
          <w:rFonts w:hint="eastAsia" w:asciiTheme="minorEastAsia" w:hAnsiTheme="minorEastAsia"/>
          <w:b/>
          <w:bCs/>
          <w:color w:val="auto"/>
          <w:sz w:val="28"/>
          <w:szCs w:val="28"/>
        </w:rPr>
        <w:t>（七）学前教育教师发展</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新时代背景下幼儿园教师专业素养研究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w:t>
      </w:r>
      <w:r>
        <w:rPr>
          <w:rFonts w:hint="eastAsia" w:asciiTheme="minorEastAsia" w:hAnsiTheme="minorEastAsia"/>
          <w:color w:val="auto"/>
          <w:sz w:val="28"/>
          <w:szCs w:val="28"/>
        </w:rPr>
        <w:t>高质量学前教育与幼儿园教师专业发展研究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3.</w:t>
      </w:r>
      <w:r>
        <w:rPr>
          <w:rFonts w:hint="eastAsia" w:asciiTheme="minorEastAsia" w:hAnsiTheme="minorEastAsia"/>
          <w:color w:val="auto"/>
          <w:sz w:val="28"/>
          <w:szCs w:val="28"/>
        </w:rPr>
        <w:t>职前职后一体化幼儿园教师师德养成机制研究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4.</w:t>
      </w:r>
      <w:r>
        <w:rPr>
          <w:rFonts w:hint="eastAsia" w:asciiTheme="minorEastAsia" w:hAnsiTheme="minorEastAsia"/>
          <w:color w:val="auto"/>
          <w:sz w:val="28"/>
          <w:szCs w:val="28"/>
        </w:rPr>
        <w:t>乡村学前教师教育供给主体多元化及协同机制研究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5.</w:t>
      </w:r>
      <w:r>
        <w:rPr>
          <w:rFonts w:hint="eastAsia" w:asciiTheme="minorEastAsia" w:hAnsiTheme="minorEastAsia"/>
          <w:color w:val="auto"/>
          <w:sz w:val="28"/>
          <w:szCs w:val="28"/>
        </w:rPr>
        <w:t>职前教师培养和职后教师发展有机衔接的方法和途径研究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6.</w:t>
      </w:r>
      <w:r>
        <w:rPr>
          <w:rFonts w:hint="eastAsia" w:asciiTheme="minorEastAsia" w:hAnsiTheme="minorEastAsia"/>
          <w:color w:val="auto"/>
          <w:sz w:val="28"/>
          <w:szCs w:val="28"/>
        </w:rPr>
        <w:t>普惠性幼儿园师资稳定保障性政策研究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7.</w:t>
      </w:r>
      <w:r>
        <w:rPr>
          <w:rFonts w:hint="eastAsia" w:asciiTheme="minorEastAsia" w:hAnsiTheme="minorEastAsia"/>
          <w:color w:val="auto"/>
          <w:sz w:val="28"/>
          <w:szCs w:val="28"/>
        </w:rPr>
        <w:t>学前教育专业师范生职业能力构建研究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8.</w:t>
      </w:r>
      <w:r>
        <w:rPr>
          <w:rFonts w:hint="eastAsia" w:asciiTheme="minorEastAsia" w:hAnsiTheme="minorEastAsia"/>
          <w:color w:val="auto"/>
          <w:sz w:val="28"/>
          <w:szCs w:val="28"/>
        </w:rPr>
        <w:t>学前公费师范生培养模式与效益研究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9.</w:t>
      </w:r>
      <w:r>
        <w:rPr>
          <w:rFonts w:hint="eastAsia" w:asciiTheme="minorEastAsia" w:hAnsiTheme="minorEastAsia"/>
          <w:color w:val="auto"/>
          <w:sz w:val="28"/>
          <w:szCs w:val="28"/>
        </w:rPr>
        <w:t>学前教育专业立德树人标准与评估研究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10.</w:t>
      </w:r>
      <w:r>
        <w:rPr>
          <w:rFonts w:hint="eastAsia" w:asciiTheme="minorEastAsia" w:hAnsiTheme="minorEastAsia"/>
          <w:color w:val="auto"/>
          <w:sz w:val="28"/>
          <w:szCs w:val="28"/>
        </w:rPr>
        <w:t>专业认证背景下学前教育专业人才培养模式创新研究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1</w:t>
      </w:r>
      <w:r>
        <w:rPr>
          <w:rFonts w:asciiTheme="minorEastAsia" w:hAnsiTheme="minorEastAsia"/>
          <w:color w:val="auto"/>
          <w:sz w:val="28"/>
          <w:szCs w:val="28"/>
        </w:rPr>
        <w:t>.</w:t>
      </w:r>
      <w:r>
        <w:rPr>
          <w:rFonts w:hint="eastAsia" w:asciiTheme="minorEastAsia" w:hAnsiTheme="minorEastAsia"/>
          <w:color w:val="auto"/>
          <w:sz w:val="28"/>
          <w:szCs w:val="28"/>
        </w:rPr>
        <w:t>高职院校或者普通本科院校学前教育专业课程设置及建设研究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2</w:t>
      </w:r>
      <w:r>
        <w:rPr>
          <w:rFonts w:asciiTheme="minorEastAsia" w:hAnsiTheme="minorEastAsia"/>
          <w:color w:val="auto"/>
          <w:sz w:val="28"/>
          <w:szCs w:val="28"/>
        </w:rPr>
        <w:t>.</w:t>
      </w:r>
      <w:r>
        <w:rPr>
          <w:rFonts w:hint="eastAsia" w:asciiTheme="minorEastAsia" w:hAnsiTheme="minorEastAsia"/>
          <w:color w:val="auto"/>
          <w:sz w:val="28"/>
          <w:szCs w:val="28"/>
        </w:rPr>
        <w:t>幼儿园教师职业生涯轨迹研究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3</w:t>
      </w:r>
      <w:r>
        <w:rPr>
          <w:rFonts w:asciiTheme="minorEastAsia" w:hAnsiTheme="minorEastAsia"/>
          <w:color w:val="auto"/>
          <w:sz w:val="28"/>
          <w:szCs w:val="28"/>
        </w:rPr>
        <w:t>.</w:t>
      </w:r>
      <w:r>
        <w:rPr>
          <w:rFonts w:hint="eastAsia" w:asciiTheme="minorEastAsia" w:hAnsiTheme="minorEastAsia"/>
          <w:color w:val="auto"/>
          <w:sz w:val="28"/>
          <w:szCs w:val="28"/>
        </w:rPr>
        <w:t>幼儿园教师专业发展内生性动力研究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4</w:t>
      </w:r>
      <w:r>
        <w:rPr>
          <w:rFonts w:asciiTheme="minorEastAsia" w:hAnsiTheme="minorEastAsia"/>
          <w:color w:val="auto"/>
          <w:sz w:val="28"/>
          <w:szCs w:val="28"/>
        </w:rPr>
        <w:t>.</w:t>
      </w:r>
      <w:r>
        <w:rPr>
          <w:rFonts w:hint="eastAsia" w:asciiTheme="minorEastAsia" w:hAnsiTheme="minorEastAsia"/>
          <w:color w:val="auto"/>
          <w:sz w:val="28"/>
          <w:szCs w:val="28"/>
        </w:rPr>
        <w:t>高质量幼儿园教师培训课程资源研究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5</w:t>
      </w:r>
      <w:r>
        <w:rPr>
          <w:rFonts w:asciiTheme="minorEastAsia" w:hAnsiTheme="minorEastAsia"/>
          <w:color w:val="auto"/>
          <w:sz w:val="28"/>
          <w:szCs w:val="28"/>
        </w:rPr>
        <w:t>.</w:t>
      </w:r>
      <w:r>
        <w:rPr>
          <w:rFonts w:hint="eastAsia" w:asciiTheme="minorEastAsia" w:hAnsiTheme="minorEastAsia"/>
          <w:color w:val="auto"/>
          <w:sz w:val="28"/>
          <w:szCs w:val="28"/>
        </w:rPr>
        <w:t>提高园本教研实效性的研究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6</w:t>
      </w:r>
      <w:r>
        <w:rPr>
          <w:rFonts w:asciiTheme="minorEastAsia" w:hAnsiTheme="minorEastAsia"/>
          <w:color w:val="auto"/>
          <w:sz w:val="28"/>
          <w:szCs w:val="28"/>
        </w:rPr>
        <w:t>.</w:t>
      </w:r>
      <w:r>
        <w:rPr>
          <w:rFonts w:hint="eastAsia" w:asciiTheme="minorEastAsia" w:hAnsiTheme="minorEastAsia"/>
          <w:color w:val="auto"/>
          <w:sz w:val="28"/>
          <w:szCs w:val="28"/>
        </w:rPr>
        <w:t>幼儿园教师待遇保障机制研究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17</w:t>
      </w:r>
      <w:r>
        <w:rPr>
          <w:rFonts w:asciiTheme="minorEastAsia" w:hAnsiTheme="minorEastAsia"/>
          <w:color w:val="auto"/>
          <w:sz w:val="28"/>
          <w:szCs w:val="28"/>
        </w:rPr>
        <w:t>.</w:t>
      </w:r>
      <w:r>
        <w:rPr>
          <w:rFonts w:hint="eastAsia" w:asciiTheme="minorEastAsia" w:hAnsiTheme="minorEastAsia"/>
          <w:color w:val="auto"/>
          <w:sz w:val="28"/>
          <w:szCs w:val="28"/>
        </w:rPr>
        <w:t>公办幼儿园中教师同工同酬问题研究</w:t>
      </w:r>
    </w:p>
    <w:p>
      <w:pPr>
        <w:keepNext w:val="0"/>
        <w:keepLines w:val="0"/>
        <w:pageBreakBefore w:val="0"/>
        <w:widowControl/>
        <w:shd w:val="clear" w:color="auto" w:fill="FFFFFF"/>
        <w:kinsoku/>
        <w:wordWrap/>
        <w:overflowPunct/>
        <w:topLinePunct w:val="0"/>
        <w:autoSpaceDE/>
        <w:autoSpaceDN/>
        <w:bidi w:val="0"/>
        <w:spacing w:line="480" w:lineRule="exact"/>
        <w:ind w:left="708" w:leftChars="337" w:firstLine="1"/>
        <w:jc w:val="left"/>
        <w:textAlignment w:val="auto"/>
        <w:rPr>
          <w:rFonts w:asciiTheme="minorEastAsia" w:hAnsiTheme="minorEastAsia"/>
          <w:color w:val="auto"/>
          <w:sz w:val="28"/>
          <w:szCs w:val="28"/>
        </w:rPr>
      </w:pPr>
      <w:r>
        <w:rPr>
          <w:rFonts w:hint="eastAsia" w:asciiTheme="minorEastAsia" w:hAnsiTheme="minorEastAsia"/>
          <w:color w:val="auto"/>
          <w:sz w:val="28"/>
          <w:szCs w:val="28"/>
        </w:rPr>
        <w:t>18.</w:t>
      </w:r>
      <w:r>
        <w:rPr>
          <w:rFonts w:asciiTheme="minorEastAsia" w:hAnsiTheme="minorEastAsia"/>
          <w:color w:val="auto"/>
          <w:sz w:val="28"/>
          <w:szCs w:val="28"/>
        </w:rPr>
        <w:t>幼儿教师工作状况与工作环境的研究</w:t>
      </w:r>
    </w:p>
    <w:p>
      <w:pPr>
        <w:keepNext w:val="0"/>
        <w:keepLines w:val="0"/>
        <w:pageBreakBefore w:val="0"/>
        <w:widowControl/>
        <w:shd w:val="clear" w:color="auto" w:fill="FFFFFF"/>
        <w:kinsoku/>
        <w:wordWrap/>
        <w:overflowPunct/>
        <w:topLinePunct w:val="0"/>
        <w:autoSpaceDE/>
        <w:autoSpaceDN/>
        <w:bidi w:val="0"/>
        <w:spacing w:line="480" w:lineRule="exact"/>
        <w:ind w:left="708" w:leftChars="337" w:firstLine="1"/>
        <w:jc w:val="left"/>
        <w:textAlignment w:val="auto"/>
        <w:rPr>
          <w:rFonts w:asciiTheme="minorEastAsia" w:hAnsiTheme="minorEastAsia"/>
          <w:color w:val="auto"/>
          <w:sz w:val="28"/>
          <w:szCs w:val="28"/>
        </w:rPr>
      </w:pPr>
      <w:r>
        <w:rPr>
          <w:rFonts w:hint="eastAsia" w:asciiTheme="minorEastAsia" w:hAnsiTheme="minorEastAsia"/>
          <w:color w:val="auto"/>
          <w:sz w:val="28"/>
          <w:szCs w:val="28"/>
        </w:rPr>
        <w:t>19.</w:t>
      </w:r>
      <w:r>
        <w:rPr>
          <w:rFonts w:asciiTheme="minorEastAsia" w:hAnsiTheme="minorEastAsia"/>
          <w:color w:val="auto"/>
          <w:sz w:val="28"/>
          <w:szCs w:val="28"/>
        </w:rPr>
        <w:t>幼儿教师教育行为适宜性研究</w:t>
      </w:r>
    </w:p>
    <w:p>
      <w:pPr>
        <w:keepNext w:val="0"/>
        <w:keepLines w:val="0"/>
        <w:pageBreakBefore w:val="0"/>
        <w:widowControl/>
        <w:shd w:val="clear" w:color="auto" w:fill="FFFFFF"/>
        <w:kinsoku/>
        <w:wordWrap/>
        <w:overflowPunct/>
        <w:topLinePunct w:val="0"/>
        <w:autoSpaceDE/>
        <w:autoSpaceDN/>
        <w:bidi w:val="0"/>
        <w:spacing w:line="480" w:lineRule="exact"/>
        <w:ind w:left="708" w:leftChars="337" w:firstLine="1"/>
        <w:jc w:val="left"/>
        <w:textAlignment w:val="auto"/>
        <w:rPr>
          <w:rFonts w:asciiTheme="minorEastAsia" w:hAnsiTheme="minorEastAsia"/>
          <w:color w:val="auto"/>
          <w:sz w:val="28"/>
          <w:szCs w:val="28"/>
        </w:rPr>
      </w:pPr>
      <w:r>
        <w:rPr>
          <w:rFonts w:hint="eastAsia" w:asciiTheme="minorEastAsia" w:hAnsiTheme="minorEastAsia"/>
          <w:color w:val="auto"/>
          <w:sz w:val="28"/>
          <w:szCs w:val="28"/>
        </w:rPr>
        <w:t>20.</w:t>
      </w:r>
      <w:r>
        <w:rPr>
          <w:rFonts w:asciiTheme="minorEastAsia" w:hAnsiTheme="minorEastAsia"/>
          <w:color w:val="auto"/>
          <w:sz w:val="28"/>
          <w:szCs w:val="28"/>
        </w:rPr>
        <w:t>新时代幼儿园“四有好老师”培养研究</w:t>
      </w:r>
    </w:p>
    <w:p>
      <w:pPr>
        <w:keepNext w:val="0"/>
        <w:keepLines w:val="0"/>
        <w:pageBreakBefore w:val="0"/>
        <w:widowControl/>
        <w:shd w:val="clear" w:color="auto" w:fill="FFFFFF"/>
        <w:kinsoku/>
        <w:wordWrap/>
        <w:overflowPunct/>
        <w:topLinePunct w:val="0"/>
        <w:autoSpaceDE/>
        <w:autoSpaceDN/>
        <w:bidi w:val="0"/>
        <w:spacing w:line="480" w:lineRule="exact"/>
        <w:ind w:left="708" w:leftChars="337" w:firstLine="1"/>
        <w:jc w:val="left"/>
        <w:textAlignment w:val="auto"/>
        <w:rPr>
          <w:rFonts w:asciiTheme="minorEastAsia" w:hAnsiTheme="minorEastAsia"/>
          <w:color w:val="auto"/>
          <w:sz w:val="28"/>
          <w:szCs w:val="28"/>
        </w:rPr>
      </w:pPr>
      <w:r>
        <w:rPr>
          <w:rFonts w:hint="eastAsia" w:asciiTheme="minorEastAsia" w:hAnsiTheme="minorEastAsia"/>
          <w:color w:val="auto"/>
          <w:sz w:val="28"/>
          <w:szCs w:val="28"/>
        </w:rPr>
        <w:t>21.</w:t>
      </w:r>
      <w:r>
        <w:rPr>
          <w:rFonts w:asciiTheme="minorEastAsia" w:hAnsiTheme="minorEastAsia"/>
          <w:color w:val="auto"/>
          <w:sz w:val="28"/>
          <w:szCs w:val="28"/>
        </w:rPr>
        <w:t>非在编、非专业、农村转岗教师专业发展研究</w:t>
      </w:r>
    </w:p>
    <w:p>
      <w:pPr>
        <w:keepNext w:val="0"/>
        <w:keepLines w:val="0"/>
        <w:pageBreakBefore w:val="0"/>
        <w:widowControl/>
        <w:shd w:val="clear" w:color="auto" w:fill="FFFFFF"/>
        <w:kinsoku/>
        <w:wordWrap/>
        <w:overflowPunct/>
        <w:topLinePunct w:val="0"/>
        <w:autoSpaceDE/>
        <w:autoSpaceDN/>
        <w:bidi w:val="0"/>
        <w:spacing w:line="480" w:lineRule="exact"/>
        <w:ind w:left="708" w:leftChars="337" w:firstLine="1"/>
        <w:jc w:val="left"/>
        <w:textAlignment w:val="auto"/>
        <w:rPr>
          <w:rFonts w:asciiTheme="minorEastAsia" w:hAnsiTheme="minorEastAsia"/>
          <w:color w:val="auto"/>
          <w:sz w:val="28"/>
          <w:szCs w:val="28"/>
        </w:rPr>
      </w:pPr>
      <w:r>
        <w:rPr>
          <w:rFonts w:hint="eastAsia" w:asciiTheme="minorEastAsia" w:hAnsiTheme="minorEastAsia"/>
          <w:color w:val="auto"/>
          <w:sz w:val="28"/>
          <w:szCs w:val="28"/>
        </w:rPr>
        <w:t>22.</w:t>
      </w:r>
      <w:r>
        <w:rPr>
          <w:rFonts w:asciiTheme="minorEastAsia" w:hAnsiTheme="minorEastAsia"/>
          <w:color w:val="auto"/>
          <w:sz w:val="28"/>
          <w:szCs w:val="28"/>
        </w:rPr>
        <w:t>幼儿园男教师专业发展研究</w:t>
      </w:r>
    </w:p>
    <w:p>
      <w:pPr>
        <w:keepNext w:val="0"/>
        <w:keepLines w:val="0"/>
        <w:pageBreakBefore w:val="0"/>
        <w:widowControl/>
        <w:shd w:val="clear" w:color="auto" w:fill="FFFFFF"/>
        <w:kinsoku/>
        <w:wordWrap/>
        <w:overflowPunct/>
        <w:topLinePunct w:val="0"/>
        <w:autoSpaceDE/>
        <w:autoSpaceDN/>
        <w:bidi w:val="0"/>
        <w:spacing w:line="480" w:lineRule="exact"/>
        <w:ind w:left="708" w:leftChars="337" w:firstLine="1"/>
        <w:jc w:val="left"/>
        <w:textAlignment w:val="auto"/>
        <w:rPr>
          <w:rFonts w:asciiTheme="minorEastAsia" w:hAnsiTheme="minorEastAsia"/>
          <w:color w:val="auto"/>
          <w:sz w:val="28"/>
          <w:szCs w:val="28"/>
        </w:rPr>
      </w:pPr>
      <w:r>
        <w:rPr>
          <w:rFonts w:hint="eastAsia" w:asciiTheme="minorEastAsia" w:hAnsiTheme="minorEastAsia"/>
          <w:color w:val="auto"/>
          <w:sz w:val="28"/>
          <w:szCs w:val="28"/>
        </w:rPr>
        <w:t>23.</w:t>
      </w:r>
      <w:r>
        <w:rPr>
          <w:rFonts w:asciiTheme="minorEastAsia" w:hAnsiTheme="minorEastAsia"/>
          <w:color w:val="auto"/>
          <w:sz w:val="28"/>
          <w:szCs w:val="28"/>
        </w:rPr>
        <w:t>幼儿园名园长（名师）工作室辐射带动作用研究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left"/>
        <w:textAlignment w:val="auto"/>
        <w:outlineLvl w:val="3"/>
        <w:rPr>
          <w:rFonts w:asciiTheme="minorEastAsia" w:hAnsiTheme="minorEastAsia"/>
          <w:color w:val="auto"/>
          <w:sz w:val="28"/>
          <w:szCs w:val="28"/>
        </w:rPr>
      </w:pPr>
      <w:r>
        <w:rPr>
          <w:rFonts w:hint="eastAsia" w:asciiTheme="minorEastAsia" w:hAnsiTheme="minorEastAsia"/>
          <w:b/>
          <w:bCs/>
          <w:color w:val="auto"/>
          <w:sz w:val="28"/>
          <w:szCs w:val="28"/>
        </w:rPr>
        <w:t>（八）学前教育基础理论</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安吉游戏的儿童观和教育观研究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w:t>
      </w:r>
      <w:r>
        <w:rPr>
          <w:rFonts w:asciiTheme="minorEastAsia" w:hAnsiTheme="minorEastAsia"/>
          <w:color w:val="auto"/>
          <w:sz w:val="28"/>
          <w:szCs w:val="28"/>
        </w:rPr>
        <w:t>.</w:t>
      </w:r>
      <w:r>
        <w:rPr>
          <w:rFonts w:hint="eastAsia" w:asciiTheme="minorEastAsia" w:hAnsiTheme="minorEastAsia"/>
          <w:color w:val="auto"/>
          <w:sz w:val="28"/>
          <w:szCs w:val="28"/>
        </w:rPr>
        <w:t>高等师范院校学前教育专业转型的研究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w:t>
      </w:r>
      <w:r>
        <w:rPr>
          <w:rFonts w:asciiTheme="minorEastAsia" w:hAnsiTheme="minorEastAsia"/>
          <w:color w:val="auto"/>
          <w:sz w:val="28"/>
          <w:szCs w:val="28"/>
        </w:rPr>
        <w:t>.</w:t>
      </w:r>
      <w:r>
        <w:rPr>
          <w:rFonts w:hint="eastAsia" w:asciiTheme="minorEastAsia" w:hAnsiTheme="minorEastAsia"/>
          <w:color w:val="auto"/>
          <w:sz w:val="28"/>
          <w:szCs w:val="28"/>
        </w:rPr>
        <w:t>幼儿园教师理论素养提升的行动研究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w:t>
      </w:r>
      <w:r>
        <w:rPr>
          <w:rFonts w:asciiTheme="minorEastAsia" w:hAnsiTheme="minorEastAsia"/>
          <w:color w:val="auto"/>
          <w:sz w:val="28"/>
          <w:szCs w:val="28"/>
        </w:rPr>
        <w:t>.</w:t>
      </w:r>
      <w:r>
        <w:rPr>
          <w:rFonts w:hint="eastAsia" w:asciiTheme="minorEastAsia" w:hAnsiTheme="minorEastAsia"/>
          <w:color w:val="auto"/>
          <w:sz w:val="28"/>
          <w:szCs w:val="28"/>
        </w:rPr>
        <w:t>高校学前教育专业理论教学改革研究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w:t>
      </w:r>
      <w:r>
        <w:rPr>
          <w:rFonts w:asciiTheme="minorEastAsia" w:hAnsiTheme="minorEastAsia"/>
          <w:color w:val="auto"/>
          <w:sz w:val="28"/>
          <w:szCs w:val="28"/>
        </w:rPr>
        <w:t>.</w:t>
      </w:r>
      <w:r>
        <w:rPr>
          <w:rFonts w:hint="eastAsia" w:asciiTheme="minorEastAsia" w:hAnsiTheme="minorEastAsia"/>
          <w:color w:val="auto"/>
          <w:sz w:val="28"/>
          <w:szCs w:val="28"/>
        </w:rPr>
        <w:t>当代中国学前教育变革的文化适宜性研究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6</w:t>
      </w:r>
      <w:r>
        <w:rPr>
          <w:rFonts w:asciiTheme="minorEastAsia" w:hAnsiTheme="minorEastAsia"/>
          <w:color w:val="auto"/>
          <w:sz w:val="28"/>
          <w:szCs w:val="28"/>
        </w:rPr>
        <w:t>.“</w:t>
      </w:r>
      <w:r>
        <w:rPr>
          <w:rFonts w:hint="eastAsia" w:asciiTheme="minorEastAsia" w:hAnsiTheme="minorEastAsia"/>
          <w:color w:val="auto"/>
          <w:sz w:val="28"/>
          <w:szCs w:val="28"/>
        </w:rPr>
        <w:t>去小学化</w:t>
      </w:r>
      <w:r>
        <w:rPr>
          <w:rFonts w:asciiTheme="minorEastAsia" w:hAnsiTheme="minorEastAsia"/>
          <w:color w:val="auto"/>
          <w:sz w:val="28"/>
          <w:szCs w:val="28"/>
        </w:rPr>
        <w:t>”</w:t>
      </w:r>
      <w:r>
        <w:rPr>
          <w:rFonts w:hint="eastAsia" w:asciiTheme="minorEastAsia" w:hAnsiTheme="minorEastAsia"/>
          <w:color w:val="auto"/>
          <w:sz w:val="28"/>
          <w:szCs w:val="28"/>
        </w:rPr>
        <w:t>背景下幼小衔接的理论再构</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7</w:t>
      </w:r>
      <w:r>
        <w:rPr>
          <w:rFonts w:asciiTheme="minorEastAsia" w:hAnsiTheme="minorEastAsia"/>
          <w:color w:val="auto"/>
          <w:sz w:val="28"/>
          <w:szCs w:val="28"/>
        </w:rPr>
        <w:t>.</w:t>
      </w:r>
      <w:r>
        <w:rPr>
          <w:rFonts w:hint="eastAsia" w:asciiTheme="minorEastAsia" w:hAnsiTheme="minorEastAsia"/>
          <w:color w:val="auto"/>
          <w:sz w:val="28"/>
          <w:szCs w:val="28"/>
        </w:rPr>
        <w:t>基于湖南省情的地方学前教育课程研究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left"/>
        <w:textAlignment w:val="auto"/>
        <w:outlineLvl w:val="3"/>
        <w:rPr>
          <w:rFonts w:asciiTheme="minorEastAsia" w:hAnsiTheme="minorEastAsia"/>
          <w:color w:val="auto"/>
          <w:sz w:val="28"/>
          <w:szCs w:val="28"/>
        </w:rPr>
      </w:pPr>
      <w:r>
        <w:rPr>
          <w:rFonts w:hint="eastAsia" w:asciiTheme="minorEastAsia" w:hAnsiTheme="minorEastAsia"/>
          <w:b/>
          <w:bCs/>
          <w:color w:val="auto"/>
          <w:sz w:val="28"/>
          <w:szCs w:val="28"/>
        </w:rPr>
        <w:t>（九）幼儿园教育质量评价与提升</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学前儿童个体学习支持观察评价体系研究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w:t>
      </w:r>
      <w:r>
        <w:rPr>
          <w:rFonts w:hint="eastAsia" w:asciiTheme="minorEastAsia" w:hAnsiTheme="minorEastAsia"/>
          <w:color w:val="auto"/>
          <w:sz w:val="28"/>
          <w:szCs w:val="28"/>
        </w:rPr>
        <w:t>幼儿学习品质评价及培养研究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3.</w:t>
      </w:r>
      <w:r>
        <w:rPr>
          <w:rFonts w:hint="eastAsia" w:asciiTheme="minorEastAsia" w:hAnsiTheme="minorEastAsia"/>
          <w:color w:val="auto"/>
          <w:sz w:val="28"/>
          <w:szCs w:val="28"/>
        </w:rPr>
        <w:t>幼儿社会性发展评价体系的构建与促进研究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4.</w:t>
      </w:r>
      <w:r>
        <w:rPr>
          <w:rFonts w:hint="eastAsia" w:asciiTheme="minorEastAsia" w:hAnsiTheme="minorEastAsia"/>
          <w:color w:val="auto"/>
          <w:sz w:val="28"/>
          <w:szCs w:val="28"/>
        </w:rPr>
        <w:t>幼儿问题解决能力分阶行为指标及提升策略研究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5.</w:t>
      </w:r>
      <w:r>
        <w:rPr>
          <w:rFonts w:hint="eastAsia" w:asciiTheme="minorEastAsia" w:hAnsiTheme="minorEastAsia"/>
          <w:color w:val="auto"/>
          <w:sz w:val="28"/>
          <w:szCs w:val="28"/>
        </w:rPr>
        <w:t>幼儿入学准备素养的评价研究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6.</w:t>
      </w:r>
      <w:r>
        <w:rPr>
          <w:rFonts w:hint="eastAsia" w:asciiTheme="minorEastAsia" w:hAnsiTheme="minorEastAsia"/>
          <w:color w:val="auto"/>
          <w:sz w:val="28"/>
          <w:szCs w:val="28"/>
        </w:rPr>
        <w:t>以评价为手段的儿童学习与发展全视角追踪</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7.</w:t>
      </w:r>
      <w:r>
        <w:rPr>
          <w:rFonts w:hint="eastAsia" w:asciiTheme="minorEastAsia" w:hAnsiTheme="minorEastAsia"/>
          <w:color w:val="auto"/>
          <w:sz w:val="28"/>
          <w:szCs w:val="28"/>
        </w:rPr>
        <w:t>幼儿园教师素质的评价指标体系研究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8.</w:t>
      </w:r>
      <w:r>
        <w:rPr>
          <w:rFonts w:hint="eastAsia" w:asciiTheme="minorEastAsia" w:hAnsiTheme="minorEastAsia"/>
          <w:color w:val="auto"/>
          <w:sz w:val="28"/>
          <w:szCs w:val="28"/>
        </w:rPr>
        <w:t>幼儿园不同工作岗位教师胜任力评价研究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9.</w:t>
      </w:r>
      <w:r>
        <w:rPr>
          <w:rFonts w:hint="eastAsia" w:asciiTheme="minorEastAsia" w:hAnsiTheme="minorEastAsia"/>
          <w:color w:val="auto"/>
          <w:sz w:val="28"/>
          <w:szCs w:val="28"/>
        </w:rPr>
        <w:t>师幼互动质量评价与改进研究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10.</w:t>
      </w:r>
      <w:r>
        <w:rPr>
          <w:rFonts w:hint="eastAsia" w:asciiTheme="minorEastAsia" w:hAnsiTheme="minorEastAsia"/>
          <w:color w:val="auto"/>
          <w:sz w:val="28"/>
          <w:szCs w:val="28"/>
        </w:rPr>
        <w:t>幼儿园班级教育环境质量监测与评估</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11.</w:t>
      </w:r>
      <w:r>
        <w:rPr>
          <w:rFonts w:hint="eastAsia" w:asciiTheme="minorEastAsia" w:hAnsiTheme="minorEastAsia"/>
          <w:color w:val="auto"/>
          <w:sz w:val="28"/>
          <w:szCs w:val="28"/>
        </w:rPr>
        <w:t>幼儿园管理质量追踪评估与持续改进研究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12.</w:t>
      </w:r>
      <w:r>
        <w:rPr>
          <w:rFonts w:hint="eastAsia" w:asciiTheme="minorEastAsia" w:hAnsiTheme="minorEastAsia"/>
          <w:color w:val="auto"/>
          <w:sz w:val="28"/>
          <w:szCs w:val="28"/>
        </w:rPr>
        <w:t>区域性幼儿园教育质量与儿童发展追踪研究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13.</w:t>
      </w:r>
      <w:r>
        <w:rPr>
          <w:rFonts w:hint="eastAsia" w:asciiTheme="minorEastAsia" w:hAnsiTheme="minorEastAsia"/>
          <w:color w:val="auto"/>
          <w:sz w:val="28"/>
          <w:szCs w:val="28"/>
        </w:rPr>
        <w:t>城市小区配套普惠性幼儿园政策实施效果评估研究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w:t>
      </w:r>
      <w:r>
        <w:rPr>
          <w:rFonts w:asciiTheme="minorEastAsia" w:hAnsiTheme="minorEastAsia"/>
          <w:color w:val="auto"/>
          <w:sz w:val="28"/>
          <w:szCs w:val="28"/>
        </w:rPr>
        <w:t>4.</w:t>
      </w:r>
      <w:r>
        <w:rPr>
          <w:rFonts w:hint="eastAsia" w:asciiTheme="minorEastAsia" w:hAnsiTheme="minorEastAsia"/>
          <w:color w:val="auto"/>
          <w:sz w:val="28"/>
          <w:szCs w:val="28"/>
        </w:rPr>
        <w:t>县域学前教育普及普惠与办园行为督导评估的有效性研究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w:t>
      </w:r>
      <w:r>
        <w:rPr>
          <w:rFonts w:asciiTheme="minorEastAsia" w:hAnsiTheme="minorEastAsia"/>
          <w:color w:val="auto"/>
          <w:sz w:val="28"/>
          <w:szCs w:val="28"/>
        </w:rPr>
        <w:t>5.</w:t>
      </w:r>
      <w:r>
        <w:rPr>
          <w:rFonts w:hint="eastAsia" w:asciiTheme="minorEastAsia" w:hAnsiTheme="minorEastAsia"/>
          <w:color w:val="auto"/>
          <w:sz w:val="28"/>
          <w:szCs w:val="28"/>
        </w:rPr>
        <w:t>普惠性民办幼儿园教育质量评价与提升研究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w:t>
      </w:r>
      <w:r>
        <w:rPr>
          <w:rFonts w:asciiTheme="minorEastAsia" w:hAnsiTheme="minorEastAsia"/>
          <w:color w:val="auto"/>
          <w:sz w:val="28"/>
          <w:szCs w:val="28"/>
        </w:rPr>
        <w:t>6.</w:t>
      </w:r>
      <w:r>
        <w:rPr>
          <w:rFonts w:hint="eastAsia" w:asciiTheme="minorEastAsia" w:hAnsiTheme="minorEastAsia"/>
          <w:color w:val="auto"/>
          <w:sz w:val="28"/>
          <w:szCs w:val="28"/>
        </w:rPr>
        <w:t>湖南县域幼儿园“去小学化”的操作标准及实施策略研究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both"/>
        <w:textAlignment w:val="auto"/>
        <w:outlineLvl w:val="3"/>
        <w:rPr>
          <w:rFonts w:hint="eastAsia" w:asciiTheme="minorEastAsia" w:hAnsiTheme="minorEastAsia"/>
          <w:b/>
          <w:bCs/>
          <w:color w:val="auto"/>
          <w:sz w:val="28"/>
          <w:szCs w:val="28"/>
        </w:rPr>
      </w:pP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both"/>
        <w:textAlignment w:val="auto"/>
        <w:outlineLvl w:val="3"/>
        <w:rPr>
          <w:rFonts w:hint="eastAsia" w:asciiTheme="minorEastAsia" w:hAnsiTheme="minorEastAsia"/>
          <w:b/>
          <w:bCs/>
          <w:color w:val="auto"/>
          <w:sz w:val="28"/>
          <w:szCs w:val="28"/>
        </w:rPr>
      </w:pPr>
      <w:r>
        <w:rPr>
          <w:rFonts w:hint="eastAsia" w:asciiTheme="minorEastAsia" w:hAnsiTheme="minorEastAsia"/>
          <w:b/>
          <w:bCs/>
          <w:color w:val="auto"/>
          <w:sz w:val="28"/>
          <w:szCs w:val="28"/>
        </w:rPr>
        <w:t>三、重点专项选题目录</w:t>
      </w: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left"/>
        <w:textAlignment w:val="auto"/>
        <w:outlineLvl w:val="3"/>
        <w:rPr>
          <w:rFonts w:asciiTheme="minorEastAsia" w:hAnsiTheme="minorEastAsia"/>
          <w:b/>
          <w:bCs/>
          <w:color w:val="auto"/>
          <w:sz w:val="28"/>
          <w:szCs w:val="28"/>
        </w:rPr>
      </w:pPr>
      <w:r>
        <w:rPr>
          <w:rFonts w:hint="eastAsia" w:asciiTheme="minorEastAsia" w:hAnsiTheme="minorEastAsia"/>
          <w:b/>
          <w:bCs/>
          <w:color w:val="auto"/>
          <w:sz w:val="28"/>
          <w:szCs w:val="28"/>
        </w:rPr>
        <w:t>（一）湖南省幼儿园学习活动体系研究专项</w:t>
      </w: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left"/>
        <w:textAlignment w:val="auto"/>
        <w:outlineLvl w:val="3"/>
        <w:rPr>
          <w:rFonts w:hint="eastAsia" w:asciiTheme="minorEastAsia" w:hAnsiTheme="minorEastAsia"/>
          <w:b/>
          <w:bCs/>
          <w:color w:val="auto"/>
          <w:sz w:val="28"/>
          <w:szCs w:val="28"/>
        </w:rPr>
      </w:pPr>
      <w:r>
        <w:rPr>
          <w:rFonts w:hint="eastAsia" w:asciiTheme="minorEastAsia" w:hAnsiTheme="minorEastAsia"/>
          <w:b/>
          <w:bCs/>
          <w:color w:val="auto"/>
          <w:sz w:val="28"/>
          <w:szCs w:val="28"/>
        </w:rPr>
        <w:t>说明：该专项课题属于湖南省贯彻《指南》实验系列研究课题，申报该课题的单位将得到省学会贯彻《指南》实验专家的指导，课题研究成果也将纳入湖南省贯彻《指南》实验的成果范畴。</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w:t>
      </w:r>
      <w:r>
        <w:rPr>
          <w:rFonts w:asciiTheme="minorEastAsia" w:hAnsiTheme="minorEastAsia"/>
          <w:color w:val="auto"/>
          <w:sz w:val="28"/>
          <w:szCs w:val="28"/>
        </w:rPr>
        <w:t>.</w:t>
      </w:r>
      <w:r>
        <w:rPr>
          <w:rFonts w:hint="eastAsia" w:asciiTheme="minorEastAsia" w:hAnsiTheme="minorEastAsia"/>
          <w:color w:val="auto"/>
          <w:sz w:val="28"/>
          <w:szCs w:val="28"/>
        </w:rPr>
        <w:t>贯彻《指南》背景下的湖南省幼儿学习与发展合理期望研究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w:t>
      </w:r>
      <w:r>
        <w:rPr>
          <w:rFonts w:asciiTheme="minorEastAsia" w:hAnsiTheme="minorEastAsia"/>
          <w:color w:val="auto"/>
          <w:sz w:val="28"/>
          <w:szCs w:val="28"/>
        </w:rPr>
        <w:t>.</w:t>
      </w:r>
      <w:r>
        <w:rPr>
          <w:rFonts w:hint="eastAsia" w:asciiTheme="minorEastAsia" w:hAnsiTheme="minorEastAsia"/>
          <w:color w:val="auto"/>
          <w:sz w:val="28"/>
          <w:szCs w:val="28"/>
        </w:rPr>
        <w:t>贯彻《指南》背景下的湖南省幼儿基本学习内容研究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3.</w:t>
      </w:r>
      <w:r>
        <w:rPr>
          <w:rFonts w:hint="eastAsia" w:asciiTheme="minorEastAsia" w:hAnsiTheme="minorEastAsia"/>
          <w:color w:val="auto"/>
          <w:sz w:val="28"/>
          <w:szCs w:val="28"/>
        </w:rPr>
        <w:t>贯彻《指南》背景下的湖南省幼儿园学习活动计划研究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w:t>
      </w:r>
      <w:r>
        <w:rPr>
          <w:rFonts w:asciiTheme="minorEastAsia" w:hAnsiTheme="minorEastAsia"/>
          <w:color w:val="auto"/>
          <w:sz w:val="28"/>
          <w:szCs w:val="28"/>
        </w:rPr>
        <w:t>.</w:t>
      </w:r>
      <w:r>
        <w:rPr>
          <w:rFonts w:hint="eastAsia" w:asciiTheme="minorEastAsia" w:hAnsiTheme="minorEastAsia"/>
          <w:color w:val="auto"/>
          <w:sz w:val="28"/>
          <w:szCs w:val="28"/>
        </w:rPr>
        <w:t>贯彻《指南》背景下湖南省幼儿园学习活动的实施途径研究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w:t>
      </w:r>
      <w:r>
        <w:rPr>
          <w:rFonts w:asciiTheme="minorEastAsia" w:hAnsiTheme="minorEastAsia"/>
          <w:color w:val="auto"/>
          <w:sz w:val="28"/>
          <w:szCs w:val="28"/>
        </w:rPr>
        <w:t>.</w:t>
      </w:r>
      <w:r>
        <w:rPr>
          <w:rFonts w:hint="eastAsia" w:asciiTheme="minorEastAsia" w:hAnsiTheme="minorEastAsia"/>
          <w:color w:val="auto"/>
          <w:sz w:val="28"/>
          <w:szCs w:val="28"/>
        </w:rPr>
        <w:t>贯彻《指南》背景下的湖南省幼儿园学习活动评价研究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6</w:t>
      </w:r>
      <w:r>
        <w:rPr>
          <w:rFonts w:asciiTheme="minorEastAsia" w:hAnsiTheme="minorEastAsia"/>
          <w:color w:val="auto"/>
          <w:sz w:val="28"/>
          <w:szCs w:val="28"/>
        </w:rPr>
        <w:t>.</w:t>
      </w:r>
      <w:r>
        <w:rPr>
          <w:rFonts w:hint="eastAsia" w:asciiTheme="minorEastAsia" w:hAnsiTheme="minorEastAsia"/>
          <w:color w:val="auto"/>
          <w:sz w:val="28"/>
          <w:szCs w:val="28"/>
        </w:rPr>
        <w:t>贯彻《指南》背景下的湖南省幼儿园园本学习活动体系建设研究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2" w:firstLineChars="200"/>
        <w:jc w:val="left"/>
        <w:textAlignment w:val="auto"/>
        <w:outlineLvl w:val="3"/>
        <w:rPr>
          <w:rFonts w:asciiTheme="minorEastAsia" w:hAnsiTheme="minorEastAsia"/>
          <w:b/>
          <w:bCs/>
          <w:color w:val="auto"/>
          <w:sz w:val="28"/>
          <w:szCs w:val="28"/>
        </w:rPr>
      </w:pPr>
      <w:r>
        <w:rPr>
          <w:rFonts w:hint="eastAsia" w:asciiTheme="minorEastAsia" w:hAnsiTheme="minorEastAsia"/>
          <w:b/>
          <w:bCs/>
          <w:color w:val="auto"/>
          <w:sz w:val="28"/>
          <w:szCs w:val="28"/>
        </w:rPr>
        <w:t>（二）湖南省幼儿园区域活动研究专项</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说明：该专项课题申报单位应为“湖南省幼儿园区域活动实验园”，且实验园区域活动立项课题将同时作为省学会《湖南省幼儿园区域活动本土化创新研究》课题的子课题，得到课题组专家的指导。有意向加入“湖南省幼儿园区域活动研究”实验幼儿园，可到“幼学汇”微信公众号搜索湘学前学会[2019]25号文件：《关于“湖南省幼儿园区域活动研究”下阶段工作计划与任务的通知》进行报名申请。</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1.幼儿园语言区材料投放与教师支持策略研究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2.幼儿园科学区材料投放与教师支持策略研究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3.幼儿园美工区材料投放与教师支持策略研究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4.幼儿园表演区材料投放与教师支持策略研究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5.幼儿园建构区材料投放与教师支持策略研究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6.幼儿园角色区材料投放与教师支持策略研究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7.幼儿园运动区材料投放与教师支持策略研究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8.幼儿园生活区材料投放与教师支持策略研究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9.幼儿园种植区材料投放与教师支持策略研究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10.幼儿园沙水区材料投放与教师支持策略研究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1.幼儿园区域活动中幼儿深度学习的发生机制研究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2.幼儿园区域活动中幼儿问题解决能力的发展研究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3.幼儿园区域活动中的同伴互动行为研究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w:t>
      </w:r>
      <w:r>
        <w:rPr>
          <w:rFonts w:hint="eastAsia" w:asciiTheme="minorEastAsia" w:hAnsiTheme="minorEastAsia"/>
          <w:color w:val="auto"/>
          <w:sz w:val="28"/>
          <w:szCs w:val="28"/>
        </w:rPr>
        <w:t>4.幼儿园区域活动中幼儿自主性的发展研究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w:t>
      </w:r>
      <w:r>
        <w:rPr>
          <w:rFonts w:asciiTheme="minorEastAsia" w:hAnsiTheme="minorEastAsia"/>
          <w:color w:val="auto"/>
          <w:sz w:val="28"/>
          <w:szCs w:val="28"/>
        </w:rPr>
        <w:t>5</w:t>
      </w:r>
      <w:r>
        <w:rPr>
          <w:rFonts w:hint="eastAsia" w:asciiTheme="minorEastAsia" w:hAnsiTheme="minorEastAsia"/>
          <w:color w:val="auto"/>
          <w:sz w:val="28"/>
          <w:szCs w:val="28"/>
        </w:rPr>
        <w:t>.幼儿园主题性区域活动的设计与实施研究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16</w:t>
      </w:r>
      <w:r>
        <w:rPr>
          <w:rFonts w:hint="eastAsia" w:asciiTheme="minorEastAsia" w:hAnsiTheme="minorEastAsia"/>
          <w:color w:val="auto"/>
          <w:sz w:val="28"/>
          <w:szCs w:val="28"/>
        </w:rPr>
        <w:t>.幼儿园主题性区域活动材料的设计与开发研究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17</w:t>
      </w:r>
      <w:r>
        <w:rPr>
          <w:rFonts w:hint="eastAsia" w:asciiTheme="minorEastAsia" w:hAnsiTheme="minorEastAsia"/>
          <w:color w:val="auto"/>
          <w:sz w:val="28"/>
          <w:szCs w:val="28"/>
        </w:rPr>
        <w:t>.幼儿园地方特色区域活动资源的开发与利用研究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18</w:t>
      </w:r>
      <w:r>
        <w:rPr>
          <w:rFonts w:hint="eastAsia" w:asciiTheme="minorEastAsia" w:hAnsiTheme="minorEastAsia"/>
          <w:color w:val="auto"/>
          <w:sz w:val="28"/>
          <w:szCs w:val="28"/>
        </w:rPr>
        <w:t>.幼儿园主题性区域活动中的区域联动策略研究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1</w:t>
      </w:r>
      <w:r>
        <w:rPr>
          <w:rFonts w:asciiTheme="minorEastAsia" w:hAnsiTheme="minorEastAsia"/>
          <w:color w:val="auto"/>
          <w:sz w:val="28"/>
          <w:szCs w:val="28"/>
        </w:rPr>
        <w:t>9</w:t>
      </w:r>
      <w:r>
        <w:rPr>
          <w:rFonts w:hint="eastAsia" w:asciiTheme="minorEastAsia" w:hAnsiTheme="minorEastAsia"/>
          <w:color w:val="auto"/>
          <w:sz w:val="28"/>
          <w:szCs w:val="28"/>
        </w:rPr>
        <w:t>.幼儿园区域活动观察与记录研究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w:t>
      </w:r>
      <w:r>
        <w:rPr>
          <w:rFonts w:asciiTheme="minorEastAsia" w:hAnsiTheme="minorEastAsia"/>
          <w:color w:val="auto"/>
          <w:sz w:val="28"/>
          <w:szCs w:val="28"/>
        </w:rPr>
        <w:t>0</w:t>
      </w:r>
      <w:r>
        <w:rPr>
          <w:rFonts w:hint="eastAsia" w:asciiTheme="minorEastAsia" w:hAnsiTheme="minorEastAsia"/>
          <w:color w:val="auto"/>
          <w:sz w:val="28"/>
          <w:szCs w:val="28"/>
        </w:rPr>
        <w:t>.幼儿园区域活动中的幼儿行为解读研究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21</w:t>
      </w:r>
      <w:r>
        <w:rPr>
          <w:rFonts w:hint="eastAsia" w:asciiTheme="minorEastAsia" w:hAnsiTheme="minorEastAsia"/>
          <w:color w:val="auto"/>
          <w:sz w:val="28"/>
          <w:szCs w:val="28"/>
        </w:rPr>
        <w:t>.幼儿园区域活动中的教师语言指导策略研究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22</w:t>
      </w:r>
      <w:r>
        <w:rPr>
          <w:rFonts w:hint="eastAsia" w:asciiTheme="minorEastAsia" w:hAnsiTheme="minorEastAsia"/>
          <w:color w:val="auto"/>
          <w:sz w:val="28"/>
          <w:szCs w:val="28"/>
        </w:rPr>
        <w:t>.幼儿园区域活动中的教师行为指导策略研究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23</w:t>
      </w:r>
      <w:r>
        <w:rPr>
          <w:rFonts w:hint="eastAsia" w:asciiTheme="minorEastAsia" w:hAnsiTheme="minorEastAsia"/>
          <w:color w:val="auto"/>
          <w:sz w:val="28"/>
          <w:szCs w:val="28"/>
        </w:rPr>
        <w:t>.幼儿园区域活动中的教师隐性支持策略研究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24</w:t>
      </w:r>
      <w:r>
        <w:rPr>
          <w:rFonts w:hint="eastAsia" w:asciiTheme="minorEastAsia" w:hAnsiTheme="minorEastAsia"/>
          <w:color w:val="auto"/>
          <w:sz w:val="28"/>
          <w:szCs w:val="28"/>
        </w:rPr>
        <w:t>.幼儿园区域活动中的师幼互动有效性研究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25</w:t>
      </w:r>
      <w:r>
        <w:rPr>
          <w:rFonts w:hint="eastAsia" w:asciiTheme="minorEastAsia" w:hAnsiTheme="minorEastAsia"/>
          <w:color w:val="auto"/>
          <w:sz w:val="28"/>
          <w:szCs w:val="28"/>
        </w:rPr>
        <w:t>.幼儿园区域活动组织流程研究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2</w:t>
      </w:r>
      <w:r>
        <w:rPr>
          <w:rFonts w:asciiTheme="minorEastAsia" w:hAnsiTheme="minorEastAsia"/>
          <w:color w:val="auto"/>
          <w:sz w:val="28"/>
          <w:szCs w:val="28"/>
        </w:rPr>
        <w:t>6</w:t>
      </w:r>
      <w:r>
        <w:rPr>
          <w:rFonts w:hint="eastAsia" w:asciiTheme="minorEastAsia" w:hAnsiTheme="minorEastAsia"/>
          <w:color w:val="auto"/>
          <w:sz w:val="28"/>
          <w:szCs w:val="28"/>
        </w:rPr>
        <w:t>.幼儿园区域活动园本教研活动组织策略研究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27</w:t>
      </w:r>
      <w:r>
        <w:rPr>
          <w:rFonts w:hint="eastAsia" w:asciiTheme="minorEastAsia" w:hAnsiTheme="minorEastAsia"/>
          <w:color w:val="auto"/>
          <w:sz w:val="28"/>
          <w:szCs w:val="28"/>
        </w:rPr>
        <w:t>.幼儿园教师组织区域活动能力培养策略研究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28</w:t>
      </w:r>
      <w:r>
        <w:rPr>
          <w:rFonts w:hint="eastAsia" w:asciiTheme="minorEastAsia" w:hAnsiTheme="minorEastAsia"/>
          <w:color w:val="auto"/>
          <w:sz w:val="28"/>
          <w:szCs w:val="28"/>
        </w:rPr>
        <w:t>.幼儿园区域活动中的班级教师配合策略研究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29</w:t>
      </w:r>
      <w:r>
        <w:rPr>
          <w:rFonts w:hint="eastAsia" w:asciiTheme="minorEastAsia" w:hAnsiTheme="minorEastAsia"/>
          <w:color w:val="auto"/>
          <w:sz w:val="28"/>
          <w:szCs w:val="28"/>
        </w:rPr>
        <w:t>.幼儿园区域活动环境创设评价研究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30</w:t>
      </w:r>
      <w:r>
        <w:rPr>
          <w:rFonts w:hint="eastAsia" w:asciiTheme="minorEastAsia" w:hAnsiTheme="minorEastAsia"/>
          <w:color w:val="auto"/>
          <w:sz w:val="28"/>
          <w:szCs w:val="28"/>
        </w:rPr>
        <w:t>.幼儿园区域活动材料投放评价研究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hint="eastAsia" w:asciiTheme="minorEastAsia" w:hAnsiTheme="minorEastAsia"/>
          <w:color w:val="auto"/>
          <w:sz w:val="28"/>
          <w:szCs w:val="28"/>
        </w:rPr>
        <w:t>3</w:t>
      </w:r>
      <w:r>
        <w:rPr>
          <w:rFonts w:asciiTheme="minorEastAsia" w:hAnsiTheme="minorEastAsia"/>
          <w:color w:val="auto"/>
          <w:sz w:val="28"/>
          <w:szCs w:val="28"/>
        </w:rPr>
        <w:t>1</w:t>
      </w:r>
      <w:r>
        <w:rPr>
          <w:rFonts w:hint="eastAsia" w:asciiTheme="minorEastAsia" w:hAnsiTheme="minorEastAsia"/>
          <w:color w:val="auto"/>
          <w:sz w:val="28"/>
          <w:szCs w:val="28"/>
        </w:rPr>
        <w:t>.幼儿园区域活动中的幼儿活动评价研究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asciiTheme="minorEastAsia" w:hAnsiTheme="minorEastAsia"/>
          <w:color w:val="auto"/>
          <w:sz w:val="28"/>
          <w:szCs w:val="28"/>
        </w:rPr>
      </w:pPr>
      <w:r>
        <w:rPr>
          <w:rFonts w:asciiTheme="minorEastAsia" w:hAnsiTheme="minorEastAsia"/>
          <w:color w:val="auto"/>
          <w:sz w:val="28"/>
          <w:szCs w:val="28"/>
        </w:rPr>
        <w:t>32</w:t>
      </w:r>
      <w:r>
        <w:rPr>
          <w:rFonts w:hint="eastAsia" w:asciiTheme="minorEastAsia" w:hAnsiTheme="minorEastAsia"/>
          <w:color w:val="auto"/>
          <w:sz w:val="28"/>
          <w:szCs w:val="28"/>
        </w:rPr>
        <w:t>.幼儿园区域活动中的教师支持评价研究</w:t>
      </w: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hint="eastAsia" w:asciiTheme="minorEastAsia" w:hAnsiTheme="minorEastAsia"/>
          <w:color w:val="auto"/>
          <w:sz w:val="28"/>
          <w:szCs w:val="28"/>
        </w:rPr>
      </w:pPr>
    </w:p>
    <w:p>
      <w:pPr>
        <w:keepNext w:val="0"/>
        <w:keepLines w:val="0"/>
        <w:pageBreakBefore w:val="0"/>
        <w:kinsoku/>
        <w:wordWrap/>
        <w:overflowPunct/>
        <w:topLinePunct w:val="0"/>
        <w:autoSpaceDE/>
        <w:autoSpaceDN/>
        <w:bidi w:val="0"/>
        <w:adjustRightInd w:val="0"/>
        <w:snapToGrid w:val="0"/>
        <w:spacing w:line="480" w:lineRule="exact"/>
        <w:ind w:left="141" w:leftChars="67" w:firstLine="560" w:firstLineChars="200"/>
        <w:jc w:val="left"/>
        <w:textAlignment w:val="auto"/>
        <w:outlineLvl w:val="3"/>
        <w:rPr>
          <w:rFonts w:hint="eastAsia" w:asciiTheme="minorEastAsia" w:hAnsiTheme="minorEastAsia"/>
          <w:color w:val="auto"/>
          <w:sz w:val="28"/>
          <w:szCs w:val="28"/>
        </w:rPr>
      </w:pPr>
    </w:p>
    <w:p>
      <w:pPr>
        <w:pStyle w:val="2"/>
        <w:ind w:left="0" w:leftChars="0" w:firstLine="0" w:firstLineChars="0"/>
      </w:pPr>
    </w:p>
    <w:p>
      <w:pPr>
        <w:pStyle w:val="2"/>
        <w:ind w:left="0" w:leftChars="0" w:firstLine="0" w:firstLineChars="0"/>
      </w:pPr>
    </w:p>
    <w:p>
      <w:pPr>
        <w:pStyle w:val="2"/>
      </w:pPr>
    </w:p>
    <w:p>
      <w:pPr>
        <w:adjustRightInd w:val="0"/>
        <w:snapToGrid w:val="0"/>
        <w:spacing w:line="500" w:lineRule="exact"/>
        <w:ind w:firstLine="562" w:firstLineChars="201"/>
        <w:rPr>
          <w:rFonts w:cs="仿宋_GB2312" w:asciiTheme="minorEastAsia" w:hAnsiTheme="minorEastAsia"/>
          <w:color w:val="000000"/>
          <w:sz w:val="28"/>
          <w:szCs w:val="28"/>
        </w:rPr>
      </w:pPr>
    </w:p>
    <w:p>
      <w:pPr>
        <w:spacing w:line="360" w:lineRule="auto"/>
        <w:rPr>
          <w:rStyle w:val="9"/>
          <w:rFonts w:ascii="仿宋_GB2312" w:hAnsi="仿宋_GB2312" w:eastAsia="仿宋_GB2312" w:cs="仿宋_GB2312"/>
          <w:b w:val="0"/>
          <w:bCs w:val="0"/>
          <w:sz w:val="28"/>
          <w:szCs w:val="28"/>
        </w:rPr>
      </w:pPr>
    </w:p>
    <w:p>
      <w:pPr>
        <w:rPr>
          <w:rStyle w:val="9"/>
          <w:rFonts w:ascii="宋体" w:hAnsi="宋体" w:eastAsia="宋体" w:cs="宋体"/>
          <w:b w:val="0"/>
          <w:bCs w:val="0"/>
          <w:sz w:val="32"/>
          <w:szCs w:val="32"/>
        </w:rPr>
      </w:pPr>
    </w:p>
    <w:p>
      <w:pPr>
        <w:pStyle w:val="2"/>
      </w:pPr>
    </w:p>
    <w:p>
      <w:pPr>
        <w:rPr>
          <w:rStyle w:val="9"/>
          <w:rFonts w:hint="eastAsia" w:ascii="宋体" w:hAnsi="宋体" w:eastAsia="宋体" w:cs="宋体"/>
          <w:b w:val="0"/>
          <w:bCs w:val="0"/>
          <w:sz w:val="32"/>
          <w:szCs w:val="32"/>
        </w:rPr>
      </w:pPr>
      <w:r>
        <w:rPr>
          <w:rStyle w:val="9"/>
          <w:rFonts w:hint="eastAsia" w:ascii="宋体" w:hAnsi="宋体" w:eastAsia="宋体" w:cs="宋体"/>
          <w:b w:val="0"/>
          <w:bCs w:val="0"/>
          <w:sz w:val="32"/>
          <w:szCs w:val="32"/>
        </w:rPr>
        <w:br w:type="page"/>
      </w:r>
    </w:p>
    <w:p>
      <w:pPr>
        <w:spacing w:line="360" w:lineRule="auto"/>
        <w:rPr>
          <w:rStyle w:val="9"/>
          <w:rFonts w:ascii="宋体" w:hAnsi="宋体" w:eastAsia="宋体" w:cs="宋体"/>
          <w:b w:val="0"/>
          <w:bCs w:val="0"/>
          <w:sz w:val="28"/>
          <w:szCs w:val="28"/>
        </w:rPr>
      </w:pPr>
      <w:r>
        <w:rPr>
          <w:rStyle w:val="9"/>
          <w:rFonts w:hint="eastAsia" w:ascii="宋体" w:hAnsi="宋体" w:eastAsia="宋体" w:cs="宋体"/>
          <w:b w:val="0"/>
          <w:bCs w:val="0"/>
          <w:sz w:val="28"/>
          <w:szCs w:val="28"/>
        </w:rPr>
        <w:t>附件</w:t>
      </w:r>
      <w:r>
        <w:rPr>
          <w:rStyle w:val="9"/>
          <w:rFonts w:hint="eastAsia" w:ascii="宋体" w:hAnsi="宋体" w:eastAsia="宋体" w:cs="宋体"/>
          <w:b w:val="0"/>
          <w:bCs w:val="0"/>
          <w:sz w:val="28"/>
          <w:szCs w:val="28"/>
          <w:lang w:val="en-US" w:eastAsia="zh-CN"/>
        </w:rPr>
        <w:t>2</w:t>
      </w:r>
      <w:r>
        <w:rPr>
          <w:rStyle w:val="9"/>
          <w:rFonts w:hint="eastAsia" w:ascii="宋体" w:hAnsi="宋体" w:eastAsia="宋体" w:cs="宋体"/>
          <w:b w:val="0"/>
          <w:bCs w:val="0"/>
          <w:sz w:val="28"/>
          <w:szCs w:val="28"/>
        </w:rPr>
        <w:t>：</w:t>
      </w:r>
    </w:p>
    <w:p>
      <w:pPr>
        <w:jc w:val="center"/>
        <w:rPr>
          <w:rFonts w:hint="eastAsia"/>
          <w:b/>
          <w:sz w:val="36"/>
          <w:szCs w:val="36"/>
        </w:rPr>
      </w:pPr>
    </w:p>
    <w:p>
      <w:pPr>
        <w:jc w:val="center"/>
        <w:rPr>
          <w:rFonts w:hint="eastAsia" w:eastAsiaTheme="minorEastAsia"/>
          <w:b/>
          <w:sz w:val="32"/>
          <w:szCs w:val="32"/>
          <w:lang w:eastAsia="zh-CN"/>
        </w:rPr>
      </w:pPr>
      <w:r>
        <w:rPr>
          <w:rFonts w:hint="eastAsia"/>
          <w:b/>
          <w:sz w:val="36"/>
          <w:szCs w:val="36"/>
        </w:rPr>
        <w:t>湖南省学前教育</w:t>
      </w:r>
      <w:r>
        <w:rPr>
          <w:rFonts w:hint="eastAsia"/>
          <w:b/>
          <w:sz w:val="36"/>
          <w:szCs w:val="36"/>
          <w:lang w:val="en-US" w:eastAsia="zh-CN"/>
        </w:rPr>
        <w:t>规划</w:t>
      </w:r>
      <w:r>
        <w:rPr>
          <w:rFonts w:hint="eastAsia"/>
          <w:b/>
          <w:sz w:val="36"/>
          <w:szCs w:val="36"/>
        </w:rPr>
        <w:t>课题管理办法</w:t>
      </w:r>
    </w:p>
    <w:p>
      <w:pPr>
        <w:spacing w:line="480" w:lineRule="exact"/>
        <w:jc w:val="center"/>
        <w:rPr>
          <w:rFonts w:hint="eastAsia" w:ascii="宋体" w:hAnsi="宋体" w:eastAsiaTheme="minorEastAsia"/>
          <w:sz w:val="28"/>
          <w:szCs w:val="28"/>
          <w:lang w:eastAsia="zh-CN"/>
        </w:rPr>
      </w:pPr>
      <w:r>
        <w:rPr>
          <w:rFonts w:hint="eastAsia" w:ascii="宋体" w:hAnsi="宋体"/>
          <w:sz w:val="28"/>
          <w:szCs w:val="28"/>
          <w:lang w:eastAsia="zh-CN"/>
        </w:rPr>
        <w:t>（</w:t>
      </w:r>
      <w:r>
        <w:rPr>
          <w:rFonts w:hint="eastAsia" w:ascii="楷体_GB2312" w:hAnsi="宋体" w:eastAsia="楷体_GB2312" w:cs="宋体"/>
          <w:b/>
          <w:bCs/>
          <w:kern w:val="36"/>
          <w:sz w:val="28"/>
          <w:szCs w:val="28"/>
        </w:rPr>
        <w:t>20</w:t>
      </w:r>
      <w:r>
        <w:rPr>
          <w:rFonts w:hint="eastAsia" w:ascii="楷体_GB2312" w:hAnsi="宋体" w:eastAsia="楷体_GB2312" w:cs="宋体"/>
          <w:b/>
          <w:bCs/>
          <w:kern w:val="36"/>
          <w:sz w:val="28"/>
          <w:szCs w:val="28"/>
          <w:lang w:val="en-US" w:eastAsia="zh-CN"/>
        </w:rPr>
        <w:t>20</w:t>
      </w:r>
      <w:r>
        <w:rPr>
          <w:rFonts w:hint="eastAsia" w:ascii="楷体_GB2312" w:hAnsi="宋体" w:eastAsia="楷体_GB2312" w:cs="宋体"/>
          <w:b/>
          <w:bCs/>
          <w:kern w:val="36"/>
          <w:sz w:val="28"/>
          <w:szCs w:val="28"/>
        </w:rPr>
        <w:t>年11月</w:t>
      </w:r>
      <w:r>
        <w:rPr>
          <w:rFonts w:hint="eastAsia" w:ascii="楷体_GB2312" w:hAnsi="宋体" w:eastAsia="楷体_GB2312" w:cs="宋体"/>
          <w:b/>
          <w:bCs/>
          <w:kern w:val="36"/>
          <w:sz w:val="28"/>
          <w:szCs w:val="28"/>
          <w:lang w:val="en-US" w:eastAsia="zh-CN"/>
        </w:rPr>
        <w:t>常务</w:t>
      </w:r>
      <w:r>
        <w:rPr>
          <w:rFonts w:hint="eastAsia" w:ascii="楷体_GB2312" w:hAnsi="宋体" w:eastAsia="楷体_GB2312" w:cs="宋体"/>
          <w:b/>
          <w:bCs/>
          <w:kern w:val="36"/>
          <w:sz w:val="28"/>
          <w:szCs w:val="28"/>
        </w:rPr>
        <w:t>理事会议通过</w:t>
      </w:r>
      <w:r>
        <w:rPr>
          <w:rFonts w:hint="eastAsia" w:ascii="宋体" w:hAnsi="宋体"/>
          <w:sz w:val="28"/>
          <w:szCs w:val="28"/>
          <w:lang w:eastAsia="zh-CN"/>
        </w:rPr>
        <w:t>）</w:t>
      </w:r>
    </w:p>
    <w:p>
      <w:pPr>
        <w:spacing w:line="480" w:lineRule="exact"/>
        <w:ind w:firstLine="560" w:firstLineChars="200"/>
        <w:rPr>
          <w:rFonts w:hint="eastAsia" w:ascii="宋体" w:hAnsi="宋体"/>
          <w:sz w:val="28"/>
          <w:szCs w:val="28"/>
        </w:rPr>
      </w:pPr>
    </w:p>
    <w:p>
      <w:pPr>
        <w:spacing w:line="480" w:lineRule="exact"/>
        <w:ind w:firstLine="560" w:firstLineChars="200"/>
        <w:rPr>
          <w:rFonts w:hint="eastAsia" w:ascii="宋体" w:hAnsi="宋体"/>
          <w:sz w:val="28"/>
          <w:szCs w:val="28"/>
        </w:rPr>
      </w:pPr>
      <w:r>
        <w:rPr>
          <w:rFonts w:hint="eastAsia" w:ascii="宋体" w:hAnsi="宋体"/>
          <w:sz w:val="28"/>
          <w:szCs w:val="28"/>
        </w:rPr>
        <w:t>为加强对湖南省学前教育</w:t>
      </w:r>
      <w:r>
        <w:rPr>
          <w:rFonts w:hint="eastAsia" w:ascii="宋体" w:hAnsi="宋体"/>
          <w:sz w:val="28"/>
          <w:szCs w:val="28"/>
          <w:lang w:val="en-US" w:eastAsia="zh-CN"/>
        </w:rPr>
        <w:t>规划</w:t>
      </w:r>
      <w:r>
        <w:rPr>
          <w:rFonts w:hint="eastAsia" w:ascii="宋体" w:hAnsi="宋体"/>
          <w:sz w:val="28"/>
          <w:szCs w:val="28"/>
        </w:rPr>
        <w:t>课题</w:t>
      </w:r>
      <w:r>
        <w:rPr>
          <w:rFonts w:hint="eastAsia" w:ascii="宋体" w:hAnsi="宋体"/>
          <w:sz w:val="28"/>
          <w:szCs w:val="28"/>
          <w:lang w:val="en-US" w:eastAsia="zh-CN"/>
        </w:rPr>
        <w:t>的</w:t>
      </w:r>
      <w:r>
        <w:rPr>
          <w:rFonts w:hint="eastAsia" w:ascii="宋体" w:hAnsi="宋体"/>
          <w:sz w:val="28"/>
          <w:szCs w:val="28"/>
        </w:rPr>
        <w:t>管理，支持广大会员积极开展学前教育研究，特制定本办法。</w:t>
      </w:r>
    </w:p>
    <w:p>
      <w:pPr>
        <w:spacing w:line="480" w:lineRule="exact"/>
        <w:ind w:firstLine="562" w:firstLineChars="200"/>
        <w:rPr>
          <w:rFonts w:hint="eastAsia" w:ascii="宋体" w:hAnsi="宋体" w:eastAsiaTheme="minorEastAsia"/>
          <w:b/>
          <w:sz w:val="28"/>
          <w:szCs w:val="28"/>
          <w:lang w:eastAsia="zh-CN"/>
        </w:rPr>
      </w:pPr>
      <w:r>
        <w:rPr>
          <w:rFonts w:hint="eastAsia" w:ascii="宋体" w:hAnsi="宋体"/>
          <w:b/>
          <w:sz w:val="28"/>
          <w:szCs w:val="28"/>
        </w:rPr>
        <w:t>一、</w:t>
      </w:r>
      <w:r>
        <w:rPr>
          <w:rFonts w:hint="eastAsia" w:ascii="宋体" w:hAnsi="宋体"/>
          <w:b/>
          <w:sz w:val="28"/>
          <w:szCs w:val="28"/>
          <w:lang w:val="en-US" w:eastAsia="zh-CN"/>
        </w:rPr>
        <w:t>湖南省学前教育规划</w:t>
      </w:r>
      <w:r>
        <w:rPr>
          <w:rFonts w:hint="eastAsia" w:ascii="宋体" w:hAnsi="宋体"/>
          <w:b/>
          <w:sz w:val="28"/>
          <w:szCs w:val="28"/>
        </w:rPr>
        <w:t>课题的</w:t>
      </w:r>
      <w:r>
        <w:rPr>
          <w:rFonts w:hint="eastAsia" w:ascii="宋体" w:hAnsi="宋体"/>
          <w:b/>
          <w:sz w:val="28"/>
          <w:szCs w:val="28"/>
          <w:lang w:val="en-US" w:eastAsia="zh-CN"/>
        </w:rPr>
        <w:t>立项</w:t>
      </w:r>
    </w:p>
    <w:p>
      <w:pPr>
        <w:spacing w:line="480" w:lineRule="exact"/>
        <w:ind w:firstLine="562" w:firstLineChars="200"/>
        <w:rPr>
          <w:rFonts w:hint="default" w:ascii="宋体" w:hAnsi="宋体" w:eastAsiaTheme="minorEastAsia"/>
          <w:b/>
          <w:bCs/>
          <w:sz w:val="28"/>
          <w:szCs w:val="28"/>
          <w:lang w:val="en-US" w:eastAsia="zh-CN"/>
        </w:rPr>
      </w:pPr>
      <w:r>
        <w:rPr>
          <w:rFonts w:hint="eastAsia" w:ascii="宋体" w:hAnsi="宋体"/>
          <w:b/>
          <w:bCs/>
          <w:sz w:val="28"/>
          <w:szCs w:val="28"/>
          <w:lang w:eastAsia="zh-CN"/>
        </w:rPr>
        <w:t>（</w:t>
      </w:r>
      <w:r>
        <w:rPr>
          <w:rFonts w:hint="eastAsia" w:ascii="宋体" w:hAnsi="宋体"/>
          <w:b/>
          <w:bCs/>
          <w:sz w:val="28"/>
          <w:szCs w:val="28"/>
          <w:lang w:val="en-US" w:eastAsia="zh-CN"/>
        </w:rPr>
        <w:t>一</w:t>
      </w:r>
      <w:r>
        <w:rPr>
          <w:rFonts w:hint="eastAsia" w:ascii="宋体" w:hAnsi="宋体"/>
          <w:b/>
          <w:bCs/>
          <w:sz w:val="28"/>
          <w:szCs w:val="28"/>
          <w:lang w:eastAsia="zh-CN"/>
        </w:rPr>
        <w:t>）</w:t>
      </w:r>
      <w:r>
        <w:rPr>
          <w:rFonts w:hint="eastAsia" w:ascii="宋体" w:hAnsi="宋体"/>
          <w:b/>
          <w:bCs/>
          <w:sz w:val="28"/>
          <w:szCs w:val="28"/>
          <w:lang w:val="en-US" w:eastAsia="zh-CN"/>
        </w:rPr>
        <w:t>课题的等次和立项频次、研究周期</w:t>
      </w:r>
    </w:p>
    <w:p>
      <w:pPr>
        <w:spacing w:line="480" w:lineRule="exact"/>
        <w:ind w:firstLine="560" w:firstLineChars="200"/>
        <w:rPr>
          <w:rFonts w:hint="default" w:ascii="宋体" w:hAnsi="宋体"/>
          <w:sz w:val="28"/>
          <w:szCs w:val="28"/>
          <w:lang w:val="en-US" w:eastAsia="zh-CN"/>
        </w:rPr>
      </w:pPr>
      <w:r>
        <w:rPr>
          <w:rFonts w:hint="eastAsia" w:ascii="宋体" w:hAnsi="宋体"/>
          <w:sz w:val="28"/>
          <w:szCs w:val="28"/>
          <w:lang w:val="en-US" w:eastAsia="zh-CN"/>
        </w:rPr>
        <w:t>1.湖南省学前教育规划课题的等次分为重点课题、一般课题。</w:t>
      </w:r>
    </w:p>
    <w:p>
      <w:pPr>
        <w:spacing w:line="48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2.湖南省学前教育规划课题每年立项和评审一次。</w:t>
      </w:r>
    </w:p>
    <w:p>
      <w:pPr>
        <w:spacing w:line="480" w:lineRule="exact"/>
        <w:ind w:firstLine="560" w:firstLineChars="200"/>
        <w:rPr>
          <w:rFonts w:hint="default" w:ascii="宋体" w:hAnsi="宋体"/>
          <w:sz w:val="28"/>
          <w:szCs w:val="28"/>
          <w:lang w:val="en-US" w:eastAsia="zh-CN"/>
        </w:rPr>
      </w:pPr>
      <w:r>
        <w:rPr>
          <w:rFonts w:hint="eastAsia" w:ascii="宋体" w:hAnsi="宋体"/>
          <w:sz w:val="28"/>
          <w:szCs w:val="28"/>
          <w:lang w:val="en-US" w:eastAsia="zh-CN"/>
        </w:rPr>
        <w:t>3.湖南省学前教育规划课题的研究周期一般为2年。</w:t>
      </w:r>
    </w:p>
    <w:p>
      <w:pPr>
        <w:spacing w:line="480" w:lineRule="exact"/>
        <w:ind w:firstLine="562" w:firstLineChars="200"/>
        <w:rPr>
          <w:rFonts w:hint="default" w:ascii="宋体" w:hAnsi="宋体"/>
          <w:b/>
          <w:bCs/>
          <w:sz w:val="28"/>
          <w:szCs w:val="28"/>
          <w:lang w:val="en-US" w:eastAsia="zh-CN"/>
        </w:rPr>
      </w:pPr>
      <w:r>
        <w:rPr>
          <w:rFonts w:hint="eastAsia" w:ascii="宋体" w:hAnsi="宋体"/>
          <w:b/>
          <w:bCs/>
          <w:sz w:val="28"/>
          <w:szCs w:val="28"/>
          <w:lang w:val="en-US" w:eastAsia="zh-CN"/>
        </w:rPr>
        <w:t>（二）课题立项申报</w:t>
      </w:r>
    </w:p>
    <w:p>
      <w:pPr>
        <w:spacing w:line="480" w:lineRule="exact"/>
        <w:ind w:firstLine="560" w:firstLineChars="200"/>
        <w:rPr>
          <w:rFonts w:hint="eastAsia" w:ascii="宋体" w:hAnsi="宋体"/>
          <w:sz w:val="28"/>
          <w:szCs w:val="28"/>
          <w:lang w:eastAsia="zh-CN"/>
        </w:rPr>
      </w:pPr>
      <w:r>
        <w:rPr>
          <w:rFonts w:hint="eastAsia" w:ascii="宋体" w:hAnsi="宋体"/>
          <w:sz w:val="28"/>
          <w:szCs w:val="28"/>
          <w:lang w:val="en-US" w:eastAsia="zh-CN"/>
        </w:rPr>
        <w:t>1.</w:t>
      </w:r>
      <w:r>
        <w:rPr>
          <w:rFonts w:hint="eastAsia" w:ascii="宋体" w:hAnsi="宋体"/>
          <w:sz w:val="28"/>
          <w:szCs w:val="28"/>
        </w:rPr>
        <w:t>申报</w:t>
      </w:r>
      <w:r>
        <w:rPr>
          <w:rFonts w:hint="eastAsia" w:ascii="宋体" w:hAnsi="宋体"/>
          <w:sz w:val="28"/>
          <w:szCs w:val="28"/>
          <w:lang w:val="en-US" w:eastAsia="zh-CN"/>
        </w:rPr>
        <w:t>湖南省学前教育规划课题</w:t>
      </w:r>
      <w:r>
        <w:rPr>
          <w:rFonts w:hint="eastAsia" w:ascii="宋体" w:hAnsi="宋体"/>
          <w:sz w:val="28"/>
          <w:szCs w:val="28"/>
        </w:rPr>
        <w:t>，</w:t>
      </w:r>
      <w:r>
        <w:rPr>
          <w:rFonts w:hint="eastAsia" w:ascii="宋体" w:hAnsi="宋体"/>
          <w:color w:val="auto"/>
          <w:sz w:val="28"/>
          <w:szCs w:val="28"/>
          <w:lang w:val="en-US" w:eastAsia="zh-CN"/>
        </w:rPr>
        <w:t>一般在春季学期开学后1个月内进行。</w:t>
      </w:r>
      <w:r>
        <w:rPr>
          <w:rFonts w:hint="eastAsia" w:ascii="宋体" w:hAnsi="宋体"/>
          <w:sz w:val="28"/>
          <w:szCs w:val="28"/>
          <w:lang w:val="en-US" w:eastAsia="zh-CN"/>
        </w:rPr>
        <w:t>《申报通知》可从“幼学汇”网站（06yxh）和“幼学汇”微信公众号上查阅，</w:t>
      </w:r>
      <w:r>
        <w:rPr>
          <w:rFonts w:hint="eastAsia" w:ascii="宋体" w:hAnsi="宋体"/>
          <w:sz w:val="28"/>
          <w:szCs w:val="28"/>
        </w:rPr>
        <w:t>规划指南》</w:t>
      </w:r>
      <w:r>
        <w:rPr>
          <w:rFonts w:hint="eastAsia" w:ascii="宋体" w:hAnsi="宋体"/>
          <w:sz w:val="28"/>
          <w:szCs w:val="28"/>
          <w:lang w:val="en-US" w:eastAsia="zh-CN"/>
        </w:rPr>
        <w:t>可从“幼学汇”微信公众号下载</w:t>
      </w:r>
      <w:r>
        <w:rPr>
          <w:rFonts w:hint="eastAsia" w:ascii="宋体" w:hAnsi="宋体"/>
          <w:sz w:val="28"/>
          <w:szCs w:val="28"/>
          <w:lang w:eastAsia="zh-CN"/>
        </w:rPr>
        <w:t>。</w:t>
      </w:r>
    </w:p>
    <w:p>
      <w:pPr>
        <w:spacing w:line="480" w:lineRule="exact"/>
        <w:ind w:firstLine="560" w:firstLineChars="200"/>
        <w:rPr>
          <w:rFonts w:hint="eastAsia" w:ascii="宋体" w:hAnsi="宋体" w:eastAsiaTheme="minorEastAsia"/>
          <w:sz w:val="28"/>
          <w:szCs w:val="28"/>
          <w:lang w:val="en-US" w:eastAsia="zh-CN"/>
        </w:rPr>
      </w:pPr>
      <w:r>
        <w:rPr>
          <w:rFonts w:hint="eastAsia" w:ascii="宋体" w:hAnsi="宋体"/>
          <w:sz w:val="28"/>
          <w:szCs w:val="28"/>
          <w:lang w:val="en-US" w:eastAsia="zh-CN"/>
        </w:rPr>
        <w:t>2.湖南省学前教育规划课题《申报表》填写后报送</w:t>
      </w:r>
      <w:r>
        <w:rPr>
          <w:rFonts w:hint="eastAsia" w:ascii="宋体" w:hAnsi="宋体"/>
          <w:sz w:val="28"/>
          <w:szCs w:val="28"/>
        </w:rPr>
        <w:t>省学会</w:t>
      </w:r>
      <w:r>
        <w:rPr>
          <w:rFonts w:hint="eastAsia" w:ascii="宋体" w:hAnsi="宋体"/>
          <w:sz w:val="28"/>
          <w:szCs w:val="28"/>
          <w:lang w:val="en-US" w:eastAsia="zh-CN"/>
        </w:rPr>
        <w:t>学术中心</w:t>
      </w:r>
      <w:r>
        <w:rPr>
          <w:rStyle w:val="10"/>
          <w:rFonts w:hint="eastAsia" w:ascii="宋体" w:hAnsi="宋体"/>
          <w:color w:val="auto"/>
          <w:sz w:val="28"/>
          <w:szCs w:val="28"/>
          <w:u w:val="none"/>
          <w:lang w:eastAsia="zh-CN"/>
        </w:rPr>
        <w:t>，</w:t>
      </w:r>
      <w:r>
        <w:rPr>
          <w:rStyle w:val="10"/>
          <w:rFonts w:hint="eastAsia" w:ascii="宋体" w:hAnsi="宋体"/>
          <w:color w:val="auto"/>
          <w:sz w:val="28"/>
          <w:szCs w:val="28"/>
          <w:u w:val="none"/>
          <w:lang w:val="en-US" w:eastAsia="zh-CN"/>
        </w:rPr>
        <w:t>邮箱hnsxqjyxh@163.com</w:t>
      </w:r>
      <w:r>
        <w:rPr>
          <w:rFonts w:hint="eastAsia" w:ascii="宋体" w:hAnsi="宋体"/>
          <w:sz w:val="28"/>
          <w:szCs w:val="28"/>
          <w:lang w:eastAsia="zh-CN"/>
        </w:rPr>
        <w:t>。</w:t>
      </w:r>
      <w:r>
        <w:rPr>
          <w:rFonts w:hint="eastAsia" w:ascii="宋体" w:hAnsi="宋体"/>
          <w:sz w:val="28"/>
          <w:szCs w:val="28"/>
          <w:lang w:val="en-US" w:eastAsia="zh-CN"/>
        </w:rPr>
        <w:t>同时缴纳</w:t>
      </w:r>
      <w:r>
        <w:rPr>
          <w:rFonts w:hint="eastAsia" w:ascii="宋体" w:hAnsi="宋体"/>
          <w:sz w:val="28"/>
          <w:szCs w:val="28"/>
        </w:rPr>
        <w:t>立项评审费（300元/项</w:t>
      </w:r>
      <w:r>
        <w:rPr>
          <w:rFonts w:hint="eastAsia" w:ascii="宋体" w:hAnsi="宋体"/>
          <w:sz w:val="28"/>
          <w:szCs w:val="28"/>
          <w:lang w:eastAsia="zh-CN"/>
        </w:rPr>
        <w:t>，</w:t>
      </w:r>
      <w:r>
        <w:rPr>
          <w:rFonts w:hint="eastAsia" w:ascii="宋体" w:hAnsi="宋体"/>
          <w:sz w:val="28"/>
          <w:szCs w:val="28"/>
          <w:lang w:val="en-US" w:eastAsia="zh-CN"/>
        </w:rPr>
        <w:t>学生申报减半</w:t>
      </w:r>
      <w:r>
        <w:rPr>
          <w:rFonts w:hint="eastAsia" w:ascii="宋体" w:hAnsi="宋体"/>
          <w:sz w:val="28"/>
          <w:szCs w:val="28"/>
        </w:rPr>
        <w:t>）。</w:t>
      </w:r>
    </w:p>
    <w:p>
      <w:pPr>
        <w:spacing w:line="480" w:lineRule="exact"/>
        <w:ind w:firstLine="560" w:firstLineChars="200"/>
        <w:rPr>
          <w:rFonts w:hint="eastAsia" w:ascii="宋体" w:hAnsi="宋体"/>
          <w:sz w:val="28"/>
          <w:szCs w:val="28"/>
        </w:rPr>
      </w:pPr>
      <w:r>
        <w:rPr>
          <w:rFonts w:hint="eastAsia" w:ascii="宋体" w:hAnsi="宋体"/>
          <w:sz w:val="28"/>
          <w:szCs w:val="28"/>
          <w:lang w:val="en-US" w:eastAsia="zh-CN"/>
        </w:rPr>
        <w:t>3.已有在研湖南省学前教育规划课题（没有结题）的主持人，不能申报新的课题</w:t>
      </w:r>
      <w:r>
        <w:rPr>
          <w:rFonts w:hint="eastAsia" w:ascii="宋体" w:hAnsi="宋体"/>
          <w:sz w:val="28"/>
          <w:szCs w:val="28"/>
        </w:rPr>
        <w:t>。</w:t>
      </w:r>
    </w:p>
    <w:p>
      <w:pPr>
        <w:spacing w:line="480" w:lineRule="exact"/>
        <w:ind w:firstLine="560" w:firstLineChars="200"/>
        <w:rPr>
          <w:rFonts w:hint="default" w:ascii="宋体" w:hAnsi="宋体" w:eastAsiaTheme="minorEastAsia"/>
          <w:color w:val="auto"/>
          <w:sz w:val="28"/>
          <w:szCs w:val="28"/>
          <w:lang w:val="en-US" w:eastAsia="zh-CN"/>
        </w:rPr>
      </w:pPr>
      <w:r>
        <w:rPr>
          <w:rFonts w:hint="eastAsia" w:ascii="宋体" w:hAnsi="宋体"/>
          <w:sz w:val="28"/>
          <w:szCs w:val="28"/>
          <w:lang w:val="en-US" w:eastAsia="zh-CN"/>
        </w:rPr>
        <w:t>动员省学会会员、实施《湖南省贯彻&lt;指南&gt;幼儿园学习活动体系》基地园、“湖南省幼儿园区域活动研究”实验园，积极申报湖南省学前教育规划课题。</w:t>
      </w:r>
      <w:r>
        <w:rPr>
          <w:rFonts w:hint="eastAsia" w:ascii="宋体" w:hAnsi="宋体"/>
          <w:color w:val="auto"/>
          <w:sz w:val="28"/>
          <w:szCs w:val="28"/>
          <w:lang w:val="en-US" w:eastAsia="zh-CN"/>
        </w:rPr>
        <w:t>为支持会员申报规划课题，年度申报前举办培训班（结业学员不作为申报课题的必要条件）。</w:t>
      </w:r>
    </w:p>
    <w:p>
      <w:pPr>
        <w:spacing w:line="480" w:lineRule="exact"/>
        <w:ind w:firstLine="562" w:firstLineChars="200"/>
        <w:rPr>
          <w:rFonts w:hint="eastAsia" w:ascii="宋体" w:hAnsi="宋体"/>
          <w:b/>
          <w:sz w:val="28"/>
          <w:szCs w:val="28"/>
        </w:rPr>
      </w:pPr>
      <w:r>
        <w:rPr>
          <w:rFonts w:hint="eastAsia" w:ascii="宋体" w:hAnsi="宋体"/>
          <w:b/>
          <w:bCs w:val="0"/>
          <w:sz w:val="28"/>
          <w:szCs w:val="28"/>
          <w:lang w:eastAsia="zh-CN"/>
        </w:rPr>
        <w:t>（</w:t>
      </w:r>
      <w:r>
        <w:rPr>
          <w:rFonts w:hint="eastAsia" w:ascii="宋体" w:hAnsi="宋体"/>
          <w:b/>
          <w:bCs w:val="0"/>
          <w:sz w:val="28"/>
          <w:szCs w:val="28"/>
          <w:lang w:val="en-US" w:eastAsia="zh-CN"/>
        </w:rPr>
        <w:t>三</w:t>
      </w:r>
      <w:r>
        <w:rPr>
          <w:rFonts w:hint="eastAsia" w:ascii="宋体" w:hAnsi="宋体"/>
          <w:b/>
          <w:bCs w:val="0"/>
          <w:sz w:val="28"/>
          <w:szCs w:val="28"/>
          <w:lang w:eastAsia="zh-CN"/>
        </w:rPr>
        <w:t>）</w:t>
      </w:r>
      <w:r>
        <w:rPr>
          <w:rFonts w:hint="eastAsia" w:ascii="宋体" w:hAnsi="宋体"/>
          <w:b/>
          <w:bCs w:val="0"/>
          <w:sz w:val="28"/>
          <w:szCs w:val="28"/>
          <w:lang w:val="en-US" w:eastAsia="zh-CN"/>
        </w:rPr>
        <w:t>课题</w:t>
      </w:r>
      <w:r>
        <w:rPr>
          <w:rFonts w:hint="eastAsia" w:ascii="宋体" w:hAnsi="宋体"/>
          <w:b/>
          <w:sz w:val="28"/>
          <w:szCs w:val="28"/>
          <w:lang w:val="en-US" w:eastAsia="zh-CN"/>
        </w:rPr>
        <w:t>立项</w:t>
      </w:r>
      <w:r>
        <w:rPr>
          <w:rFonts w:hint="eastAsia" w:ascii="宋体" w:hAnsi="宋体"/>
          <w:b/>
          <w:sz w:val="28"/>
          <w:szCs w:val="28"/>
        </w:rPr>
        <w:t>评审</w:t>
      </w:r>
    </w:p>
    <w:p>
      <w:pPr>
        <w:spacing w:line="480" w:lineRule="exact"/>
        <w:ind w:firstLine="560" w:firstLineChars="200"/>
        <w:rPr>
          <w:rFonts w:hint="eastAsia" w:ascii="宋体" w:hAnsi="宋体"/>
          <w:sz w:val="28"/>
          <w:szCs w:val="28"/>
        </w:rPr>
      </w:pPr>
      <w:r>
        <w:rPr>
          <w:rFonts w:hint="eastAsia" w:ascii="宋体" w:hAnsi="宋体"/>
          <w:sz w:val="28"/>
          <w:szCs w:val="28"/>
        </w:rPr>
        <w:t>l.</w:t>
      </w:r>
      <w:r>
        <w:rPr>
          <w:rFonts w:hint="eastAsia" w:ascii="宋体" w:hAnsi="宋体"/>
          <w:sz w:val="28"/>
          <w:szCs w:val="28"/>
          <w:lang w:val="en-US" w:eastAsia="zh-CN"/>
        </w:rPr>
        <w:t>湖南省学前教育规划课题</w:t>
      </w:r>
      <w:r>
        <w:rPr>
          <w:rFonts w:hint="eastAsia" w:ascii="宋体" w:hAnsi="宋体"/>
          <w:sz w:val="28"/>
          <w:szCs w:val="28"/>
        </w:rPr>
        <w:t>评审工作由</w:t>
      </w:r>
      <w:r>
        <w:rPr>
          <w:rFonts w:hint="eastAsia" w:ascii="宋体" w:hAnsi="宋体"/>
          <w:sz w:val="28"/>
          <w:szCs w:val="28"/>
          <w:lang w:val="en-US" w:eastAsia="zh-CN"/>
        </w:rPr>
        <w:t>省学会</w:t>
      </w:r>
      <w:r>
        <w:rPr>
          <w:rFonts w:hint="eastAsia" w:ascii="宋体" w:hAnsi="宋体"/>
          <w:sz w:val="28"/>
          <w:szCs w:val="28"/>
        </w:rPr>
        <w:t>学术委员会负责，每年</w:t>
      </w:r>
      <w:r>
        <w:rPr>
          <w:rFonts w:hint="eastAsia" w:ascii="宋体" w:hAnsi="宋体"/>
          <w:sz w:val="28"/>
          <w:szCs w:val="28"/>
          <w:lang w:val="en-US" w:eastAsia="zh-CN"/>
        </w:rPr>
        <w:t>4</w:t>
      </w:r>
      <w:r>
        <w:rPr>
          <w:rFonts w:hint="eastAsia" w:ascii="宋体" w:hAnsi="宋体"/>
          <w:sz w:val="28"/>
          <w:szCs w:val="28"/>
        </w:rPr>
        <w:t>月底以前完成。</w:t>
      </w:r>
    </w:p>
    <w:p>
      <w:pPr>
        <w:spacing w:line="480" w:lineRule="exact"/>
        <w:ind w:firstLine="560" w:firstLineChars="200"/>
        <w:rPr>
          <w:rFonts w:hint="default" w:ascii="宋体" w:hAnsi="宋体" w:eastAsiaTheme="minorEastAsia"/>
          <w:sz w:val="28"/>
          <w:szCs w:val="28"/>
          <w:lang w:val="en-US" w:eastAsia="zh-CN"/>
        </w:rPr>
      </w:pPr>
      <w:r>
        <w:rPr>
          <w:rFonts w:hint="eastAsia" w:ascii="宋体" w:hAnsi="宋体"/>
          <w:sz w:val="28"/>
          <w:szCs w:val="28"/>
        </w:rPr>
        <w:t>2.</w:t>
      </w:r>
      <w:r>
        <w:rPr>
          <w:rFonts w:hint="eastAsia" w:ascii="宋体" w:hAnsi="宋体"/>
          <w:sz w:val="28"/>
          <w:szCs w:val="28"/>
          <w:lang w:val="en-US" w:eastAsia="zh-CN"/>
        </w:rPr>
        <w:t>评审立项的指标适当支持边远地区、农村地区和薄弱园、农村园。</w:t>
      </w:r>
    </w:p>
    <w:p>
      <w:pPr>
        <w:spacing w:line="480" w:lineRule="exact"/>
        <w:ind w:firstLine="560" w:firstLineChars="200"/>
        <w:rPr>
          <w:rFonts w:hint="eastAsia" w:ascii="宋体" w:hAnsi="宋体"/>
          <w:sz w:val="28"/>
          <w:szCs w:val="28"/>
        </w:rPr>
      </w:pPr>
      <w:r>
        <w:rPr>
          <w:rFonts w:hint="eastAsia" w:ascii="宋体" w:hAnsi="宋体"/>
          <w:sz w:val="28"/>
          <w:szCs w:val="28"/>
          <w:lang w:val="en-US" w:eastAsia="zh-CN"/>
        </w:rPr>
        <w:t>3.立项</w:t>
      </w:r>
      <w:r>
        <w:rPr>
          <w:rFonts w:hint="eastAsia" w:ascii="宋体" w:hAnsi="宋体"/>
          <w:sz w:val="28"/>
          <w:szCs w:val="28"/>
        </w:rPr>
        <w:t>评审方式</w:t>
      </w:r>
      <w:r>
        <w:rPr>
          <w:rFonts w:hint="eastAsia" w:ascii="宋体" w:hAnsi="宋体"/>
          <w:sz w:val="28"/>
          <w:szCs w:val="28"/>
          <w:lang w:val="en-US" w:eastAsia="zh-CN"/>
        </w:rPr>
        <w:t>首先是小组评议，在此基础上再进行会议评审</w:t>
      </w:r>
      <w:r>
        <w:rPr>
          <w:rFonts w:hint="eastAsia" w:ascii="宋体" w:hAnsi="宋体"/>
          <w:sz w:val="28"/>
          <w:szCs w:val="28"/>
        </w:rPr>
        <w:t>，赞成票超过实际到会人数</w:t>
      </w:r>
      <w:r>
        <w:rPr>
          <w:rFonts w:hint="eastAsia" w:ascii="宋体" w:hAnsi="宋体"/>
          <w:sz w:val="28"/>
          <w:szCs w:val="28"/>
          <w:lang w:val="en-US" w:eastAsia="zh-CN"/>
        </w:rPr>
        <w:t>三</w:t>
      </w:r>
      <w:r>
        <w:rPr>
          <w:rFonts w:hint="eastAsia" w:ascii="宋体" w:hAnsi="宋体"/>
          <w:sz w:val="28"/>
          <w:szCs w:val="28"/>
        </w:rPr>
        <w:t>分之</w:t>
      </w:r>
      <w:r>
        <w:rPr>
          <w:rFonts w:hint="eastAsia" w:ascii="宋体" w:hAnsi="宋体"/>
          <w:sz w:val="28"/>
          <w:szCs w:val="28"/>
          <w:lang w:val="en-US" w:eastAsia="zh-CN"/>
        </w:rPr>
        <w:t>二</w:t>
      </w:r>
      <w:r>
        <w:rPr>
          <w:rFonts w:hint="eastAsia" w:ascii="宋体" w:hAnsi="宋体"/>
          <w:sz w:val="28"/>
          <w:szCs w:val="28"/>
        </w:rPr>
        <w:t>以上(含</w:t>
      </w:r>
      <w:r>
        <w:rPr>
          <w:rFonts w:hint="eastAsia" w:ascii="宋体" w:hAnsi="宋体"/>
          <w:sz w:val="28"/>
          <w:szCs w:val="28"/>
          <w:lang w:val="en-US" w:eastAsia="zh-CN"/>
        </w:rPr>
        <w:t>三</w:t>
      </w:r>
      <w:r>
        <w:rPr>
          <w:rFonts w:hint="eastAsia" w:ascii="宋体" w:hAnsi="宋体"/>
          <w:sz w:val="28"/>
          <w:szCs w:val="28"/>
        </w:rPr>
        <w:t>分之</w:t>
      </w:r>
      <w:r>
        <w:rPr>
          <w:rFonts w:hint="eastAsia" w:ascii="宋体" w:hAnsi="宋体"/>
          <w:sz w:val="28"/>
          <w:szCs w:val="28"/>
          <w:lang w:val="en-US" w:eastAsia="zh-CN"/>
        </w:rPr>
        <w:t>二</w:t>
      </w:r>
      <w:r>
        <w:rPr>
          <w:rFonts w:hint="eastAsia" w:ascii="宋体" w:hAnsi="宋体"/>
          <w:sz w:val="28"/>
          <w:szCs w:val="28"/>
        </w:rPr>
        <w:t>)者为立项。</w:t>
      </w:r>
    </w:p>
    <w:p>
      <w:pPr>
        <w:spacing w:line="480" w:lineRule="exact"/>
        <w:ind w:firstLine="560" w:firstLineChars="200"/>
        <w:rPr>
          <w:rFonts w:hint="default" w:ascii="宋体" w:hAnsi="宋体" w:eastAsiaTheme="minorEastAsia"/>
          <w:color w:val="auto"/>
          <w:sz w:val="28"/>
          <w:szCs w:val="28"/>
          <w:lang w:val="en-US" w:eastAsia="zh-CN"/>
        </w:rPr>
      </w:pPr>
      <w:r>
        <w:rPr>
          <w:rFonts w:hint="eastAsia" w:ascii="宋体" w:hAnsi="宋体"/>
          <w:color w:val="auto"/>
          <w:sz w:val="28"/>
          <w:szCs w:val="28"/>
          <w:lang w:val="en-US" w:eastAsia="zh-CN"/>
        </w:rPr>
        <w:t>4.对当年立项的课题，在湖南省学前教育学术年会上公布。</w:t>
      </w:r>
    </w:p>
    <w:p>
      <w:pPr>
        <w:spacing w:line="480" w:lineRule="exact"/>
        <w:ind w:firstLine="562" w:firstLineChars="200"/>
        <w:rPr>
          <w:rFonts w:hint="eastAsia" w:ascii="宋体" w:hAnsi="宋体"/>
          <w:b/>
          <w:sz w:val="28"/>
          <w:szCs w:val="28"/>
        </w:rPr>
      </w:pPr>
      <w:r>
        <w:rPr>
          <w:rFonts w:hint="eastAsia" w:ascii="宋体" w:hAnsi="宋体"/>
          <w:b/>
          <w:sz w:val="28"/>
          <w:szCs w:val="28"/>
          <w:lang w:val="en-US" w:eastAsia="zh-CN"/>
        </w:rPr>
        <w:t>二</w:t>
      </w:r>
      <w:r>
        <w:rPr>
          <w:rFonts w:hint="eastAsia" w:ascii="宋体" w:hAnsi="宋体"/>
          <w:b/>
          <w:sz w:val="28"/>
          <w:szCs w:val="28"/>
        </w:rPr>
        <w:t>、</w:t>
      </w:r>
      <w:r>
        <w:rPr>
          <w:rFonts w:hint="eastAsia" w:ascii="宋体" w:hAnsi="宋体"/>
          <w:b/>
          <w:bCs/>
          <w:sz w:val="28"/>
          <w:szCs w:val="28"/>
          <w:lang w:val="en-US" w:eastAsia="zh-CN"/>
        </w:rPr>
        <w:t>湖南省学前教育规划课题</w:t>
      </w:r>
      <w:r>
        <w:rPr>
          <w:rFonts w:hint="eastAsia" w:ascii="宋体" w:hAnsi="宋体"/>
          <w:b/>
          <w:sz w:val="28"/>
          <w:szCs w:val="28"/>
        </w:rPr>
        <w:t xml:space="preserve">研究的管理  </w:t>
      </w:r>
    </w:p>
    <w:p>
      <w:pPr>
        <w:spacing w:line="480" w:lineRule="exact"/>
        <w:ind w:firstLine="560" w:firstLineChars="200"/>
        <w:rPr>
          <w:rFonts w:hint="eastAsia" w:ascii="宋体" w:hAnsi="宋体" w:eastAsiaTheme="minorEastAsia"/>
          <w:sz w:val="28"/>
          <w:szCs w:val="28"/>
          <w:lang w:eastAsia="zh-CN"/>
        </w:rPr>
      </w:pPr>
      <w:r>
        <w:rPr>
          <w:rFonts w:hint="eastAsia" w:ascii="宋体" w:hAnsi="宋体"/>
          <w:sz w:val="28"/>
          <w:szCs w:val="28"/>
        </w:rPr>
        <w:t>l．</w:t>
      </w:r>
      <w:r>
        <w:rPr>
          <w:rFonts w:hint="eastAsia" w:ascii="宋体" w:hAnsi="宋体"/>
          <w:sz w:val="28"/>
          <w:szCs w:val="28"/>
          <w:lang w:val="en-US" w:eastAsia="zh-CN"/>
        </w:rPr>
        <w:t>湖南省学前教育规划课题需在立项3</w:t>
      </w:r>
      <w:r>
        <w:rPr>
          <w:rFonts w:hint="eastAsia" w:ascii="宋体" w:hAnsi="宋体"/>
          <w:sz w:val="28"/>
          <w:szCs w:val="28"/>
        </w:rPr>
        <w:t>个月内</w:t>
      </w:r>
      <w:r>
        <w:rPr>
          <w:rFonts w:hint="eastAsia" w:ascii="宋体" w:hAnsi="宋体"/>
          <w:sz w:val="28"/>
          <w:szCs w:val="28"/>
          <w:lang w:val="en-US" w:eastAsia="zh-CN"/>
        </w:rPr>
        <w:t>进行</w:t>
      </w:r>
      <w:r>
        <w:rPr>
          <w:rFonts w:hint="eastAsia" w:ascii="宋体" w:hAnsi="宋体"/>
          <w:sz w:val="28"/>
          <w:szCs w:val="28"/>
        </w:rPr>
        <w:t>开题</w:t>
      </w:r>
      <w:r>
        <w:rPr>
          <w:rFonts w:hint="eastAsia" w:ascii="宋体" w:hAnsi="宋体"/>
          <w:sz w:val="28"/>
          <w:szCs w:val="28"/>
          <w:lang w:val="en-US" w:eastAsia="zh-CN"/>
        </w:rPr>
        <w:t>论证。课题主持人开题论证前需撰写《课题研究开题报告》，联系省学会学术委员会予以</w:t>
      </w:r>
      <w:r>
        <w:rPr>
          <w:rFonts w:hint="eastAsia" w:ascii="宋体" w:hAnsi="宋体"/>
          <w:sz w:val="28"/>
          <w:szCs w:val="28"/>
        </w:rPr>
        <w:t>指导</w:t>
      </w:r>
      <w:r>
        <w:rPr>
          <w:rFonts w:hint="eastAsia" w:ascii="宋体" w:hAnsi="宋体"/>
          <w:sz w:val="28"/>
          <w:szCs w:val="28"/>
          <w:lang w:eastAsia="zh-CN"/>
        </w:rPr>
        <w:t>。</w:t>
      </w:r>
    </w:p>
    <w:p>
      <w:pPr>
        <w:spacing w:line="48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2</w:t>
      </w:r>
      <w:r>
        <w:rPr>
          <w:rFonts w:hint="eastAsia" w:ascii="宋体" w:hAnsi="宋体"/>
          <w:sz w:val="28"/>
          <w:szCs w:val="28"/>
        </w:rPr>
        <w:t>．</w:t>
      </w:r>
      <w:r>
        <w:rPr>
          <w:rFonts w:hint="eastAsia" w:ascii="宋体" w:hAnsi="宋体"/>
          <w:sz w:val="28"/>
          <w:szCs w:val="28"/>
          <w:lang w:val="en-US" w:eastAsia="zh-CN"/>
        </w:rPr>
        <w:t>湖南省学前教育规划课题需按计划进行研究，并在立项1年内接受省学会学术委员会的中期检查。课题主持人应及时撰写《课题研究中期报告》，联系省学会学术委员会进行线上检查。</w:t>
      </w:r>
    </w:p>
    <w:p>
      <w:pPr>
        <w:spacing w:line="480" w:lineRule="exact"/>
        <w:ind w:firstLine="560" w:firstLineChars="200"/>
        <w:rPr>
          <w:rFonts w:hint="default" w:ascii="宋体" w:hAnsi="宋体"/>
          <w:sz w:val="28"/>
          <w:szCs w:val="28"/>
          <w:lang w:val="en-US"/>
        </w:rPr>
      </w:pPr>
      <w:r>
        <w:rPr>
          <w:rFonts w:hint="eastAsia" w:ascii="宋体" w:hAnsi="宋体"/>
          <w:sz w:val="28"/>
          <w:szCs w:val="28"/>
          <w:lang w:val="en-US" w:eastAsia="zh-CN"/>
        </w:rPr>
        <w:t>对通过中期研究检查的课题，省学会将在“幼学汇”网站《在研湖南省学前教育规划课题数据》中注明“通过中期检查”。对没有按时接受或通过中期检查的课题，责成主持人在3个月内完成中期检查。否则，将影响课题结题以及主持人申报新的课题。</w:t>
      </w:r>
    </w:p>
    <w:p>
      <w:pPr>
        <w:spacing w:line="480" w:lineRule="exact"/>
        <w:ind w:firstLine="560" w:firstLineChars="200"/>
        <w:rPr>
          <w:rFonts w:hint="default" w:ascii="宋体" w:hAnsi="宋体"/>
          <w:color w:val="auto"/>
          <w:sz w:val="28"/>
          <w:szCs w:val="28"/>
          <w:lang w:val="en-US" w:eastAsia="zh-CN"/>
        </w:rPr>
      </w:pPr>
      <w:r>
        <w:rPr>
          <w:rFonts w:hint="eastAsia" w:ascii="宋体" w:hAnsi="宋体"/>
          <w:sz w:val="28"/>
          <w:szCs w:val="28"/>
          <w:lang w:val="en-US" w:eastAsia="zh-CN"/>
        </w:rPr>
        <w:t>3.湖南省学前教育规划课题需按时</w:t>
      </w:r>
      <w:r>
        <w:rPr>
          <w:rFonts w:hint="eastAsia" w:ascii="宋体" w:hAnsi="宋体"/>
          <w:sz w:val="28"/>
          <w:szCs w:val="28"/>
        </w:rPr>
        <w:t>完成研究任务</w:t>
      </w:r>
      <w:r>
        <w:rPr>
          <w:rFonts w:hint="eastAsia" w:ascii="宋体" w:hAnsi="宋体"/>
          <w:sz w:val="28"/>
          <w:szCs w:val="28"/>
          <w:lang w:eastAsia="zh-CN"/>
        </w:rPr>
        <w:t>，</w:t>
      </w:r>
      <w:r>
        <w:rPr>
          <w:rFonts w:hint="eastAsia" w:ascii="宋体" w:hAnsi="宋体"/>
          <w:sz w:val="28"/>
          <w:szCs w:val="28"/>
          <w:lang w:val="en-US" w:eastAsia="zh-CN"/>
        </w:rPr>
        <w:t>并在立项2年内结题。课题结题应达到以下要求</w:t>
      </w:r>
      <w:r>
        <w:rPr>
          <w:rFonts w:hint="eastAsia" w:ascii="宋体" w:hAnsi="宋体"/>
          <w:color w:val="auto"/>
          <w:sz w:val="28"/>
          <w:szCs w:val="28"/>
          <w:lang w:val="en-US" w:eastAsia="zh-CN"/>
        </w:rPr>
        <w:t>：</w:t>
      </w:r>
      <w:r>
        <w:rPr>
          <w:rFonts w:hint="eastAsia" w:ascii="宋体" w:hAnsi="宋体"/>
          <w:color w:val="auto"/>
          <w:sz w:val="28"/>
          <w:szCs w:val="28"/>
          <w:lang w:val="en-US" w:eastAsia="zh-CN"/>
        </w:rPr>
        <w:fldChar w:fldCharType="begin"/>
      </w:r>
      <w:r>
        <w:rPr>
          <w:rFonts w:hint="eastAsia" w:ascii="宋体" w:hAnsi="宋体"/>
          <w:color w:val="auto"/>
          <w:sz w:val="28"/>
          <w:szCs w:val="28"/>
          <w:lang w:val="en-US" w:eastAsia="zh-CN"/>
        </w:rPr>
        <w:instrText xml:space="preserve"> = 1 \* GB2 \* MERGEFORMAT </w:instrText>
      </w:r>
      <w:r>
        <w:rPr>
          <w:rFonts w:hint="eastAsia" w:ascii="宋体" w:hAnsi="宋体"/>
          <w:color w:val="auto"/>
          <w:sz w:val="28"/>
          <w:szCs w:val="28"/>
          <w:lang w:val="en-US" w:eastAsia="zh-CN"/>
        </w:rPr>
        <w:fldChar w:fldCharType="separate"/>
      </w:r>
      <w:r>
        <w:rPr>
          <w:color w:val="auto"/>
        </w:rPr>
        <w:t>⑴</w:t>
      </w:r>
      <w:r>
        <w:rPr>
          <w:rFonts w:hint="eastAsia" w:ascii="宋体" w:hAnsi="宋体"/>
          <w:color w:val="auto"/>
          <w:sz w:val="28"/>
          <w:szCs w:val="28"/>
          <w:lang w:val="en-US" w:eastAsia="zh-CN"/>
        </w:rPr>
        <w:fldChar w:fldCharType="end"/>
      </w:r>
      <w:r>
        <w:rPr>
          <w:rFonts w:hint="eastAsia" w:ascii="宋体" w:hAnsi="宋体"/>
          <w:color w:val="auto"/>
          <w:sz w:val="28"/>
          <w:szCs w:val="28"/>
          <w:lang w:val="en-US" w:eastAsia="zh-CN"/>
        </w:rPr>
        <w:t>有1篇公开发表的论文或调查报告，或获得1篇“湖南省学前教育教科研优秀论文”，或获得1个“湖南省幼儿园保教活动优秀案例”。如达不到上述要求，至少在《湖南学前教育》杂志发表1篇论文或调查报告（重点课题需2篇）。</w:t>
      </w:r>
      <w:r>
        <w:rPr>
          <w:rFonts w:hint="eastAsia" w:ascii="宋体" w:hAnsi="宋体"/>
          <w:color w:val="auto"/>
          <w:sz w:val="28"/>
          <w:szCs w:val="28"/>
          <w:lang w:val="en-US" w:eastAsia="zh-CN"/>
        </w:rPr>
        <w:fldChar w:fldCharType="begin"/>
      </w:r>
      <w:r>
        <w:rPr>
          <w:rFonts w:hint="eastAsia" w:ascii="宋体" w:hAnsi="宋体"/>
          <w:color w:val="auto"/>
          <w:sz w:val="28"/>
          <w:szCs w:val="28"/>
          <w:lang w:val="en-US" w:eastAsia="zh-CN"/>
        </w:rPr>
        <w:instrText xml:space="preserve"> = 2 \* GB2 \* MERGEFORMAT </w:instrText>
      </w:r>
      <w:r>
        <w:rPr>
          <w:rFonts w:hint="eastAsia" w:ascii="宋体" w:hAnsi="宋体"/>
          <w:color w:val="auto"/>
          <w:sz w:val="28"/>
          <w:szCs w:val="28"/>
          <w:lang w:val="en-US" w:eastAsia="zh-CN"/>
        </w:rPr>
        <w:fldChar w:fldCharType="separate"/>
      </w:r>
      <w:r>
        <w:rPr>
          <w:color w:val="auto"/>
        </w:rPr>
        <w:t>⑵</w:t>
      </w:r>
      <w:r>
        <w:rPr>
          <w:rFonts w:hint="eastAsia" w:ascii="宋体" w:hAnsi="宋体"/>
          <w:color w:val="auto"/>
          <w:sz w:val="28"/>
          <w:szCs w:val="28"/>
          <w:lang w:val="en-US" w:eastAsia="zh-CN"/>
        </w:rPr>
        <w:fldChar w:fldCharType="end"/>
      </w:r>
      <w:r>
        <w:rPr>
          <w:rFonts w:hint="eastAsia" w:ascii="宋体" w:hAnsi="宋体"/>
          <w:color w:val="auto"/>
          <w:sz w:val="28"/>
          <w:szCs w:val="28"/>
          <w:lang w:val="en-US" w:eastAsia="zh-CN"/>
        </w:rPr>
        <w:t>联系省学会学术委员会组织结题评审并获得通过。</w:t>
      </w:r>
      <w:r>
        <w:rPr>
          <w:rFonts w:hint="eastAsia" w:ascii="宋体" w:hAnsi="宋体"/>
          <w:color w:val="auto"/>
          <w:sz w:val="28"/>
          <w:szCs w:val="28"/>
          <w:lang w:val="en-US" w:eastAsia="zh-CN"/>
        </w:rPr>
        <w:fldChar w:fldCharType="begin"/>
      </w:r>
      <w:r>
        <w:rPr>
          <w:rFonts w:hint="eastAsia" w:ascii="宋体" w:hAnsi="宋体"/>
          <w:color w:val="auto"/>
          <w:sz w:val="28"/>
          <w:szCs w:val="28"/>
          <w:lang w:val="en-US" w:eastAsia="zh-CN"/>
        </w:rPr>
        <w:instrText xml:space="preserve"> = 3 \* GB2 \* MERGEFORMAT </w:instrText>
      </w:r>
      <w:r>
        <w:rPr>
          <w:rFonts w:hint="eastAsia" w:ascii="宋体" w:hAnsi="宋体"/>
          <w:color w:val="auto"/>
          <w:sz w:val="28"/>
          <w:szCs w:val="28"/>
          <w:lang w:val="en-US" w:eastAsia="zh-CN"/>
        </w:rPr>
        <w:fldChar w:fldCharType="separate"/>
      </w:r>
      <w:r>
        <w:rPr>
          <w:color w:val="auto"/>
        </w:rPr>
        <w:t>⑶</w:t>
      </w:r>
      <w:r>
        <w:rPr>
          <w:rFonts w:hint="eastAsia" w:ascii="宋体" w:hAnsi="宋体"/>
          <w:color w:val="auto"/>
          <w:sz w:val="28"/>
          <w:szCs w:val="28"/>
          <w:lang w:val="en-US" w:eastAsia="zh-CN"/>
        </w:rPr>
        <w:fldChar w:fldCharType="end"/>
      </w:r>
      <w:r>
        <w:rPr>
          <w:rFonts w:hint="eastAsia" w:ascii="宋体" w:hAnsi="宋体"/>
          <w:color w:val="auto"/>
          <w:sz w:val="28"/>
          <w:szCs w:val="28"/>
          <w:lang w:val="en-US" w:eastAsia="zh-CN"/>
        </w:rPr>
        <w:t>撰写《课题研究结题报告》并送交省学会学术中心查重获得通过。</w:t>
      </w:r>
      <w:r>
        <w:rPr>
          <w:rFonts w:hint="eastAsia" w:ascii="宋体" w:hAnsi="宋体"/>
          <w:color w:val="auto"/>
          <w:sz w:val="28"/>
          <w:szCs w:val="28"/>
          <w:lang w:val="en-US" w:eastAsia="zh-CN"/>
        </w:rPr>
        <w:fldChar w:fldCharType="begin"/>
      </w:r>
      <w:r>
        <w:rPr>
          <w:rFonts w:hint="eastAsia" w:ascii="宋体" w:hAnsi="宋体"/>
          <w:color w:val="auto"/>
          <w:sz w:val="28"/>
          <w:szCs w:val="28"/>
          <w:lang w:val="en-US" w:eastAsia="zh-CN"/>
        </w:rPr>
        <w:instrText xml:space="preserve"> = 4 \* GB2 \* MERGEFORMAT </w:instrText>
      </w:r>
      <w:r>
        <w:rPr>
          <w:rFonts w:hint="eastAsia" w:ascii="宋体" w:hAnsi="宋体"/>
          <w:color w:val="auto"/>
          <w:sz w:val="28"/>
          <w:szCs w:val="28"/>
          <w:lang w:val="en-US" w:eastAsia="zh-CN"/>
        </w:rPr>
        <w:fldChar w:fldCharType="separate"/>
      </w:r>
      <w:r>
        <w:rPr>
          <w:color w:val="auto"/>
        </w:rPr>
        <w:t>⑷</w:t>
      </w:r>
      <w:r>
        <w:rPr>
          <w:rFonts w:hint="eastAsia" w:ascii="宋体" w:hAnsi="宋体"/>
          <w:color w:val="auto"/>
          <w:sz w:val="28"/>
          <w:szCs w:val="28"/>
          <w:lang w:val="en-US" w:eastAsia="zh-CN"/>
        </w:rPr>
        <w:fldChar w:fldCharType="end"/>
      </w:r>
      <w:r>
        <w:rPr>
          <w:rFonts w:hint="eastAsia" w:ascii="宋体" w:hAnsi="宋体"/>
          <w:color w:val="auto"/>
          <w:sz w:val="28"/>
          <w:szCs w:val="28"/>
          <w:lang w:val="en-US" w:eastAsia="zh-CN"/>
        </w:rPr>
        <w:t>每个课题缴纳400元（学生减半）结题费。其中本课题研究在CSSCI刊物上发表论文、或出版专著的课题，可在提交《课题研究结题报告》和缴纳结题费之后，直接结题。</w:t>
      </w:r>
    </w:p>
    <w:p>
      <w:pPr>
        <w:spacing w:line="480" w:lineRule="exact"/>
        <w:ind w:firstLine="560" w:firstLineChars="200"/>
        <w:rPr>
          <w:rFonts w:hint="eastAsia" w:ascii="宋体" w:hAnsi="宋体"/>
          <w:sz w:val="28"/>
          <w:szCs w:val="28"/>
        </w:rPr>
      </w:pPr>
      <w:r>
        <w:rPr>
          <w:rFonts w:hint="eastAsia" w:ascii="宋体" w:hAnsi="宋体"/>
          <w:sz w:val="28"/>
          <w:szCs w:val="28"/>
        </w:rPr>
        <w:t>如</w:t>
      </w:r>
      <w:r>
        <w:rPr>
          <w:rFonts w:hint="eastAsia" w:ascii="宋体" w:hAnsi="宋体"/>
          <w:sz w:val="28"/>
          <w:szCs w:val="28"/>
          <w:lang w:val="en-US" w:eastAsia="zh-CN"/>
        </w:rPr>
        <w:t>情况特殊，</w:t>
      </w:r>
      <w:r>
        <w:rPr>
          <w:rFonts w:hint="eastAsia" w:ascii="宋体" w:hAnsi="宋体"/>
          <w:sz w:val="28"/>
          <w:szCs w:val="28"/>
        </w:rPr>
        <w:t>不能按期结题</w:t>
      </w:r>
      <w:r>
        <w:rPr>
          <w:rFonts w:hint="eastAsia" w:ascii="宋体" w:hAnsi="宋体"/>
          <w:sz w:val="28"/>
          <w:szCs w:val="28"/>
          <w:lang w:val="en-US" w:eastAsia="zh-CN"/>
        </w:rPr>
        <w:t>的课题</w:t>
      </w:r>
      <w:r>
        <w:rPr>
          <w:rFonts w:hint="eastAsia" w:ascii="宋体" w:hAnsi="宋体"/>
          <w:sz w:val="28"/>
          <w:szCs w:val="28"/>
        </w:rPr>
        <w:t>，须向省学会</w:t>
      </w:r>
      <w:r>
        <w:rPr>
          <w:rFonts w:hint="eastAsia" w:ascii="宋体" w:hAnsi="宋体"/>
          <w:sz w:val="28"/>
          <w:szCs w:val="28"/>
          <w:lang w:val="en-US" w:eastAsia="zh-CN"/>
        </w:rPr>
        <w:t>学术委员会</w:t>
      </w:r>
      <w:r>
        <w:rPr>
          <w:rFonts w:hint="eastAsia" w:ascii="宋体" w:hAnsi="宋体"/>
          <w:sz w:val="28"/>
          <w:szCs w:val="28"/>
        </w:rPr>
        <w:t>申请延期，延期时间不</w:t>
      </w:r>
      <w:r>
        <w:rPr>
          <w:rFonts w:hint="eastAsia" w:ascii="宋体" w:hAnsi="宋体"/>
          <w:sz w:val="28"/>
          <w:szCs w:val="28"/>
          <w:lang w:val="en-US" w:eastAsia="zh-CN"/>
        </w:rPr>
        <w:t>得</w:t>
      </w:r>
      <w:r>
        <w:rPr>
          <w:rFonts w:hint="eastAsia" w:ascii="宋体" w:hAnsi="宋体"/>
          <w:sz w:val="28"/>
          <w:szCs w:val="28"/>
        </w:rPr>
        <w:t>超过</w:t>
      </w:r>
      <w:r>
        <w:rPr>
          <w:rFonts w:hint="eastAsia" w:ascii="宋体" w:hAnsi="宋体"/>
          <w:sz w:val="28"/>
          <w:szCs w:val="28"/>
          <w:lang w:val="en-US" w:eastAsia="zh-CN"/>
        </w:rPr>
        <w:t>1</w:t>
      </w:r>
      <w:r>
        <w:rPr>
          <w:rFonts w:hint="eastAsia" w:ascii="宋体" w:hAnsi="宋体"/>
          <w:sz w:val="28"/>
          <w:szCs w:val="28"/>
        </w:rPr>
        <w:t>年。</w:t>
      </w:r>
      <w:r>
        <w:rPr>
          <w:rFonts w:hint="eastAsia" w:ascii="宋体" w:hAnsi="宋体"/>
          <w:sz w:val="28"/>
          <w:szCs w:val="28"/>
          <w:lang w:val="en-US" w:eastAsia="zh-CN"/>
        </w:rPr>
        <w:t>不能按期</w:t>
      </w:r>
      <w:r>
        <w:rPr>
          <w:rFonts w:hint="eastAsia" w:ascii="宋体" w:hAnsi="宋体"/>
          <w:sz w:val="28"/>
          <w:szCs w:val="28"/>
        </w:rPr>
        <w:t>结题的课题，予以撤项处理</w:t>
      </w:r>
      <w:r>
        <w:rPr>
          <w:rFonts w:hint="eastAsia" w:ascii="宋体" w:hAnsi="宋体"/>
          <w:sz w:val="28"/>
          <w:szCs w:val="28"/>
          <w:lang w:eastAsia="zh-CN"/>
        </w:rPr>
        <w:t>，</w:t>
      </w:r>
      <w:r>
        <w:rPr>
          <w:rFonts w:hint="eastAsia" w:ascii="宋体" w:hAnsi="宋体"/>
          <w:sz w:val="28"/>
          <w:szCs w:val="28"/>
          <w:lang w:val="en-US" w:eastAsia="zh-CN"/>
        </w:rPr>
        <w:t>其主持人2年内不得申报湖南省学前教育规划课题</w:t>
      </w:r>
      <w:r>
        <w:rPr>
          <w:rFonts w:hint="eastAsia" w:ascii="宋体" w:hAnsi="宋体"/>
          <w:sz w:val="28"/>
          <w:szCs w:val="28"/>
        </w:rPr>
        <w:t>。对无故中断课题研究或研究情况很差的课题，予以撤项处理，并取消该课题组所有成员下次作为主持入申报课题的资格。</w:t>
      </w:r>
    </w:p>
    <w:p>
      <w:pPr>
        <w:spacing w:line="480" w:lineRule="exact"/>
        <w:ind w:firstLine="560" w:firstLineChars="200"/>
        <w:rPr>
          <w:rFonts w:hint="eastAsia" w:ascii="宋体" w:hAnsi="宋体"/>
          <w:sz w:val="28"/>
          <w:szCs w:val="28"/>
        </w:rPr>
      </w:pPr>
      <w:r>
        <w:rPr>
          <w:rFonts w:hint="eastAsia" w:ascii="宋体" w:hAnsi="宋体"/>
          <w:sz w:val="28"/>
          <w:szCs w:val="28"/>
        </w:rPr>
        <w:t>对通过结题的课题，省学会将发给《</w:t>
      </w:r>
      <w:r>
        <w:rPr>
          <w:rFonts w:hint="eastAsia" w:ascii="宋体" w:hAnsi="宋体"/>
          <w:sz w:val="28"/>
          <w:szCs w:val="28"/>
          <w:lang w:val="en-US" w:eastAsia="zh-CN"/>
        </w:rPr>
        <w:t>湖南省学前教育规划课题</w:t>
      </w:r>
      <w:r>
        <w:rPr>
          <w:rFonts w:hint="eastAsia" w:ascii="宋体" w:hAnsi="宋体"/>
          <w:sz w:val="28"/>
          <w:szCs w:val="28"/>
        </w:rPr>
        <w:t>结题证明书》。对未通过结题验收的课题，责成主持人组织该课题组在</w:t>
      </w:r>
      <w:r>
        <w:rPr>
          <w:rFonts w:hint="eastAsia" w:ascii="宋体" w:hAnsi="宋体"/>
          <w:sz w:val="28"/>
          <w:szCs w:val="28"/>
          <w:lang w:val="en-US" w:eastAsia="zh-CN"/>
        </w:rPr>
        <w:t>1</w:t>
      </w:r>
      <w:r>
        <w:rPr>
          <w:rFonts w:hint="eastAsia" w:ascii="宋体" w:hAnsi="宋体"/>
          <w:sz w:val="28"/>
          <w:szCs w:val="28"/>
        </w:rPr>
        <w:t>年内达到结题要求。对不能按期（包括延期时间在内）结题</w:t>
      </w:r>
      <w:r>
        <w:rPr>
          <w:rFonts w:hint="eastAsia" w:ascii="宋体" w:hAnsi="宋体"/>
          <w:sz w:val="28"/>
          <w:szCs w:val="28"/>
          <w:lang w:val="en-US" w:eastAsia="zh-CN"/>
        </w:rPr>
        <w:t>的课题</w:t>
      </w:r>
      <w:r>
        <w:rPr>
          <w:rFonts w:hint="eastAsia" w:ascii="宋体" w:hAnsi="宋体"/>
          <w:sz w:val="28"/>
          <w:szCs w:val="28"/>
        </w:rPr>
        <w:t>，作撤项处理，并取消该课题组主持人</w:t>
      </w:r>
      <w:r>
        <w:rPr>
          <w:rFonts w:hint="eastAsia" w:ascii="宋体" w:hAnsi="宋体"/>
          <w:sz w:val="28"/>
          <w:szCs w:val="28"/>
          <w:lang w:val="en-US" w:eastAsia="zh-CN"/>
        </w:rPr>
        <w:t>2年内</w:t>
      </w:r>
      <w:r>
        <w:rPr>
          <w:rFonts w:hint="eastAsia" w:ascii="宋体" w:hAnsi="宋体"/>
          <w:sz w:val="28"/>
          <w:szCs w:val="28"/>
        </w:rPr>
        <w:t>申报</w:t>
      </w:r>
      <w:r>
        <w:rPr>
          <w:rFonts w:hint="eastAsia" w:ascii="宋体" w:hAnsi="宋体"/>
          <w:sz w:val="28"/>
          <w:szCs w:val="28"/>
          <w:lang w:val="en-US" w:eastAsia="zh-CN"/>
        </w:rPr>
        <w:t>新</w:t>
      </w:r>
      <w:r>
        <w:rPr>
          <w:rFonts w:hint="eastAsia" w:ascii="宋体" w:hAnsi="宋体"/>
          <w:sz w:val="28"/>
          <w:szCs w:val="28"/>
        </w:rPr>
        <w:t>课题的资格。</w:t>
      </w:r>
    </w:p>
    <w:p>
      <w:pPr>
        <w:spacing w:line="480" w:lineRule="exact"/>
        <w:ind w:firstLine="560" w:firstLineChars="200"/>
        <w:rPr>
          <w:rFonts w:hint="eastAsia" w:ascii="宋体" w:hAnsi="宋体"/>
          <w:sz w:val="28"/>
          <w:szCs w:val="28"/>
          <w:lang w:val="en-US" w:eastAsia="zh-CN"/>
        </w:rPr>
      </w:pPr>
      <w:r>
        <w:rPr>
          <w:rFonts w:hint="eastAsia" w:ascii="宋体" w:hAnsi="宋体"/>
          <w:color w:val="auto"/>
          <w:sz w:val="28"/>
          <w:szCs w:val="28"/>
          <w:lang w:val="en-US" w:eastAsia="zh-CN"/>
        </w:rPr>
        <w:t>4.开题论证、结题评审提倡联系省学会学术中心集中进行，一个课题所在单位承办，其他课题参与，每次5个以上课题。建议每个课题每次交纳2000元论证费（评审费），由承办单位统收统支（含专家付费用和伙食费）。如需专家到单位现场指导的课题，由主持人与学术委员会联系。</w:t>
      </w:r>
      <w:r>
        <w:rPr>
          <w:rFonts w:hint="eastAsia" w:ascii="宋体" w:hAnsi="宋体"/>
          <w:sz w:val="28"/>
          <w:szCs w:val="28"/>
          <w:lang w:val="en-US" w:eastAsia="zh-CN"/>
        </w:rPr>
        <w:t>专家费用按天计算，以当地标准结算。各单位应严格执行国家有关规定，不许超标准接待专家和组织活动。</w:t>
      </w:r>
    </w:p>
    <w:p>
      <w:pPr>
        <w:spacing w:line="480" w:lineRule="exact"/>
        <w:ind w:firstLine="560" w:firstLineChars="200"/>
        <w:rPr>
          <w:rFonts w:hint="default" w:ascii="宋体" w:hAnsi="宋体"/>
          <w:sz w:val="28"/>
          <w:szCs w:val="28"/>
          <w:lang w:val="en-US" w:eastAsia="zh-CN"/>
        </w:rPr>
      </w:pPr>
      <w:r>
        <w:rPr>
          <w:rFonts w:hint="eastAsia" w:ascii="宋体" w:hAnsi="宋体"/>
          <w:sz w:val="28"/>
          <w:szCs w:val="28"/>
          <w:lang w:val="en-US" w:eastAsia="zh-CN"/>
        </w:rPr>
        <w:t>学生主持课题的开题论证和结题评审依据《课题研究开题报告》和《课题研究结题报告》，由省学会学术中心聘请专家在线上进行。</w:t>
      </w:r>
    </w:p>
    <w:p>
      <w:pPr>
        <w:spacing w:line="480" w:lineRule="exact"/>
        <w:ind w:firstLine="562" w:firstLineChars="200"/>
        <w:rPr>
          <w:rFonts w:hint="eastAsia" w:ascii="宋体" w:hAnsi="宋体"/>
          <w:sz w:val="28"/>
          <w:szCs w:val="28"/>
          <w:lang w:val="en-US" w:eastAsia="zh-CN"/>
        </w:rPr>
      </w:pPr>
      <w:r>
        <w:rPr>
          <w:rFonts w:hint="eastAsia" w:ascii="宋体" w:hAnsi="宋体"/>
          <w:b/>
          <w:bCs w:val="0"/>
          <w:sz w:val="28"/>
          <w:szCs w:val="28"/>
          <w:lang w:val="en-US" w:eastAsia="zh-CN"/>
        </w:rPr>
        <w:t>三</w:t>
      </w:r>
      <w:r>
        <w:rPr>
          <w:rFonts w:hint="eastAsia" w:ascii="宋体" w:hAnsi="宋体"/>
          <w:b/>
          <w:bCs w:val="0"/>
          <w:sz w:val="28"/>
          <w:szCs w:val="28"/>
        </w:rPr>
        <w:t>、</w:t>
      </w:r>
      <w:r>
        <w:rPr>
          <w:rFonts w:hint="eastAsia" w:ascii="宋体" w:hAnsi="宋体"/>
          <w:b/>
          <w:bCs w:val="0"/>
          <w:sz w:val="28"/>
          <w:szCs w:val="28"/>
          <w:lang w:val="en-US" w:eastAsia="zh-CN"/>
        </w:rPr>
        <w:t>湖南省学前教育规划课题研究的结果运用</w:t>
      </w:r>
    </w:p>
    <w:p>
      <w:pPr>
        <w:spacing w:line="480" w:lineRule="exact"/>
        <w:ind w:firstLine="560" w:firstLineChars="200"/>
        <w:rPr>
          <w:rFonts w:hint="default" w:ascii="宋体" w:hAnsi="宋体" w:eastAsiaTheme="minorEastAsia"/>
          <w:sz w:val="28"/>
          <w:szCs w:val="28"/>
          <w:lang w:val="en-US" w:eastAsia="zh-CN"/>
        </w:rPr>
      </w:pPr>
      <w:r>
        <w:rPr>
          <w:rFonts w:hint="eastAsia" w:ascii="宋体" w:hAnsi="宋体"/>
          <w:sz w:val="28"/>
          <w:szCs w:val="28"/>
        </w:rPr>
        <w:t>对</w:t>
      </w:r>
      <w:r>
        <w:rPr>
          <w:rFonts w:hint="eastAsia" w:ascii="宋体" w:hAnsi="宋体"/>
          <w:sz w:val="28"/>
          <w:szCs w:val="28"/>
          <w:lang w:val="en-US" w:eastAsia="zh-CN"/>
        </w:rPr>
        <w:t>湖南省学前教育规划课题</w:t>
      </w:r>
      <w:r>
        <w:rPr>
          <w:rFonts w:hint="eastAsia" w:ascii="宋体" w:hAnsi="宋体"/>
          <w:sz w:val="28"/>
          <w:szCs w:val="28"/>
        </w:rPr>
        <w:t>的研究成果，省学会将通过</w:t>
      </w:r>
      <w:r>
        <w:rPr>
          <w:rFonts w:hint="eastAsia" w:ascii="宋体" w:hAnsi="宋体"/>
          <w:sz w:val="28"/>
          <w:szCs w:val="28"/>
          <w:lang w:eastAsia="zh-CN"/>
        </w:rPr>
        <w:t>“</w:t>
      </w:r>
      <w:r>
        <w:rPr>
          <w:rFonts w:hint="eastAsia" w:ascii="宋体" w:hAnsi="宋体"/>
          <w:sz w:val="28"/>
          <w:szCs w:val="28"/>
          <w:lang w:val="en-US" w:eastAsia="zh-CN"/>
        </w:rPr>
        <w:t>幼学汇</w:t>
      </w:r>
      <w:r>
        <w:rPr>
          <w:rFonts w:hint="eastAsia" w:ascii="宋体" w:hAnsi="宋体"/>
          <w:sz w:val="28"/>
          <w:szCs w:val="28"/>
          <w:lang w:eastAsia="zh-CN"/>
        </w:rPr>
        <w:t>”</w:t>
      </w:r>
      <w:r>
        <w:rPr>
          <w:rFonts w:hint="eastAsia" w:ascii="宋体" w:hAnsi="宋体"/>
          <w:sz w:val="28"/>
          <w:szCs w:val="28"/>
          <w:lang w:val="en-US" w:eastAsia="zh-CN"/>
        </w:rPr>
        <w:t>网站、“幼学汇”微信公众号、《湖南学前教育》杂志等</w:t>
      </w:r>
      <w:r>
        <w:rPr>
          <w:rFonts w:hint="eastAsia" w:ascii="宋体" w:hAnsi="宋体"/>
          <w:sz w:val="28"/>
          <w:szCs w:val="28"/>
        </w:rPr>
        <w:t>各种途径予以宣传、表彰和推广</w:t>
      </w:r>
      <w:r>
        <w:rPr>
          <w:rFonts w:hint="eastAsia" w:ascii="宋体" w:hAnsi="宋体"/>
          <w:sz w:val="28"/>
          <w:szCs w:val="28"/>
          <w:lang w:eastAsia="zh-CN"/>
        </w:rPr>
        <w:t>，</w:t>
      </w:r>
      <w:r>
        <w:rPr>
          <w:rFonts w:hint="eastAsia" w:ascii="宋体" w:hAnsi="宋体"/>
          <w:sz w:val="28"/>
          <w:szCs w:val="28"/>
          <w:lang w:val="en-US" w:eastAsia="zh-CN"/>
        </w:rPr>
        <w:t>并在“湖南省学前教育教科研优秀成果评选”时予以关注</w:t>
      </w:r>
      <w:r>
        <w:rPr>
          <w:rFonts w:hint="eastAsia" w:ascii="宋体" w:hAnsi="宋体"/>
          <w:sz w:val="28"/>
          <w:szCs w:val="28"/>
        </w:rPr>
        <w:t>。</w:t>
      </w:r>
      <w:r>
        <w:rPr>
          <w:rFonts w:hint="eastAsia" w:ascii="宋体" w:hAnsi="宋体"/>
          <w:sz w:val="28"/>
          <w:szCs w:val="28"/>
          <w:lang w:val="en-US" w:eastAsia="zh-CN"/>
        </w:rPr>
        <w:t>同时，支持以此为基础，申报更高级别的课题研究和成果评选。</w:t>
      </w:r>
    </w:p>
    <w:p>
      <w:pPr>
        <w:spacing w:line="480" w:lineRule="exact"/>
        <w:ind w:firstLine="562" w:firstLineChars="200"/>
        <w:rPr>
          <w:rFonts w:hint="default" w:ascii="宋体" w:hAnsi="宋体"/>
          <w:b/>
          <w:sz w:val="28"/>
          <w:szCs w:val="28"/>
          <w:lang w:val="en-US"/>
        </w:rPr>
      </w:pPr>
      <w:r>
        <w:rPr>
          <w:rFonts w:hint="eastAsia" w:ascii="宋体" w:hAnsi="宋体"/>
          <w:b/>
          <w:bCs w:val="0"/>
          <w:sz w:val="28"/>
          <w:szCs w:val="28"/>
          <w:lang w:val="en-US" w:eastAsia="zh-CN"/>
        </w:rPr>
        <w:t>四、湖南省学前教育规划课题研究的服务</w:t>
      </w:r>
    </w:p>
    <w:p>
      <w:pPr>
        <w:spacing w:line="480" w:lineRule="exact"/>
        <w:ind w:firstLine="560" w:firstLineChars="200"/>
        <w:rPr>
          <w:rFonts w:hint="default" w:ascii="宋体" w:hAnsi="宋体"/>
          <w:sz w:val="28"/>
          <w:szCs w:val="28"/>
          <w:lang w:val="en-US" w:eastAsia="zh-CN"/>
        </w:rPr>
      </w:pPr>
      <w:r>
        <w:rPr>
          <w:rFonts w:hint="eastAsia" w:ascii="宋体" w:hAnsi="宋体"/>
          <w:sz w:val="28"/>
          <w:szCs w:val="28"/>
          <w:lang w:val="en-US" w:eastAsia="zh-CN"/>
        </w:rPr>
        <w:t>1.为支持主持人和主要研究人员开展课题研究，省学会学术委员会定期举办“湖南省学前教育规划课题研究培训班”，培训课题研究的基本知识和能力。按照以培训养培训的原则收取培训费，具体标准根据各个培训班的课程设置和培训时间来确定。</w:t>
      </w:r>
    </w:p>
    <w:p>
      <w:pPr>
        <w:spacing w:line="48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2</w:t>
      </w:r>
      <w:r>
        <w:rPr>
          <w:rFonts w:hint="eastAsia" w:ascii="宋体" w:hAnsi="宋体"/>
          <w:sz w:val="28"/>
          <w:szCs w:val="28"/>
        </w:rPr>
        <w:t>．</w:t>
      </w:r>
      <w:r>
        <w:rPr>
          <w:rFonts w:hint="eastAsia" w:ascii="宋体" w:hAnsi="宋体"/>
          <w:sz w:val="28"/>
          <w:szCs w:val="28"/>
          <w:lang w:val="en-US" w:eastAsia="zh-CN"/>
        </w:rPr>
        <w:t>为支持会员开展科研，</w:t>
      </w:r>
      <w:r>
        <w:rPr>
          <w:rFonts w:hint="eastAsia" w:ascii="宋体" w:hAnsi="宋体"/>
          <w:sz w:val="28"/>
          <w:szCs w:val="28"/>
        </w:rPr>
        <w:t>省学会</w:t>
      </w:r>
      <w:r>
        <w:rPr>
          <w:rFonts w:hint="eastAsia" w:ascii="宋体" w:hAnsi="宋体"/>
          <w:sz w:val="28"/>
          <w:szCs w:val="28"/>
          <w:lang w:val="en-US" w:eastAsia="zh-CN"/>
        </w:rPr>
        <w:t>学术委员会准备《学前教育课题研究开题报告》《湖南省学前教育规划课题研究中期检查报告》《湖南省学前教育规划课题研究结题报告》模板，上传“幼学汇”网站，供会员参考。</w:t>
      </w:r>
    </w:p>
    <w:p>
      <w:pPr>
        <w:spacing w:line="480" w:lineRule="exact"/>
        <w:ind w:firstLine="560" w:firstLineChars="200"/>
        <w:rPr>
          <w:rFonts w:hint="eastAsia" w:ascii="宋体" w:hAnsi="宋体"/>
          <w:sz w:val="28"/>
          <w:szCs w:val="28"/>
        </w:rPr>
      </w:pPr>
      <w:r>
        <w:rPr>
          <w:rFonts w:hint="eastAsia" w:ascii="宋体" w:hAnsi="宋体"/>
          <w:sz w:val="28"/>
          <w:szCs w:val="28"/>
          <w:lang w:val="en-US" w:eastAsia="zh-CN"/>
        </w:rPr>
        <w:t>3.省学会整理《在研湖南省学前教育规划课题数据库》，包括课题名称、等次、主持人姓名、中期检查和结题状况、证书（包括《立项证书》《结题证书》）打印，上传“幼学汇”网站，供研究人员和会员查阅和使用</w:t>
      </w:r>
      <w:r>
        <w:rPr>
          <w:rFonts w:hint="eastAsia" w:ascii="宋体" w:hAnsi="宋体"/>
          <w:sz w:val="28"/>
          <w:szCs w:val="28"/>
        </w:rPr>
        <w:t>。</w:t>
      </w:r>
    </w:p>
    <w:p>
      <w:pPr>
        <w:spacing w:line="480" w:lineRule="exact"/>
        <w:ind w:firstLine="560" w:firstLineChars="200"/>
        <w:rPr>
          <w:rFonts w:hint="default" w:ascii="宋体" w:hAnsi="宋体" w:eastAsiaTheme="minorEastAsia"/>
          <w:sz w:val="28"/>
          <w:szCs w:val="28"/>
          <w:lang w:val="en-US" w:eastAsia="zh-CN"/>
        </w:rPr>
      </w:pPr>
      <w:r>
        <w:rPr>
          <w:rFonts w:hint="eastAsia" w:ascii="宋体" w:hAnsi="宋体"/>
          <w:b w:val="0"/>
          <w:bCs w:val="0"/>
          <w:sz w:val="28"/>
          <w:szCs w:val="28"/>
          <w:lang w:val="en-US" w:eastAsia="zh-CN"/>
        </w:rPr>
        <w:t>4.省学会设立学术中心，作为学术委员会的日常办事机构，服务</w:t>
      </w:r>
      <w:r>
        <w:rPr>
          <w:rFonts w:hint="eastAsia" w:ascii="宋体" w:hAnsi="宋体"/>
          <w:sz w:val="28"/>
          <w:szCs w:val="28"/>
          <w:lang w:val="en-US" w:eastAsia="zh-CN"/>
        </w:rPr>
        <w:t>规划课题的立项申报、评审、管理，服务湖南省学前教育教科研成果评审和保教活动优秀案例评选。</w:t>
      </w:r>
    </w:p>
    <w:p>
      <w:pPr>
        <w:spacing w:line="480" w:lineRule="exact"/>
        <w:ind w:firstLine="562" w:firstLineChars="200"/>
        <w:rPr>
          <w:rFonts w:hint="eastAsia" w:ascii="宋体" w:hAnsi="宋体"/>
          <w:sz w:val="28"/>
          <w:szCs w:val="28"/>
          <w:lang w:val="en-US" w:eastAsia="zh-CN"/>
        </w:rPr>
      </w:pPr>
      <w:r>
        <w:rPr>
          <w:rFonts w:hint="eastAsia" w:ascii="宋体" w:hAnsi="宋体"/>
          <w:b/>
          <w:bCs/>
          <w:sz w:val="28"/>
          <w:szCs w:val="28"/>
          <w:lang w:val="en-US" w:eastAsia="zh-CN"/>
        </w:rPr>
        <w:t>五、</w:t>
      </w:r>
      <w:r>
        <w:rPr>
          <w:rFonts w:hint="eastAsia" w:ascii="宋体" w:hAnsi="宋体"/>
          <w:sz w:val="28"/>
          <w:szCs w:val="28"/>
          <w:lang w:val="en-US" w:eastAsia="zh-CN"/>
        </w:rPr>
        <w:t>在湘中国学前教育研究会规划课题研究的管理</w:t>
      </w:r>
    </w:p>
    <w:p>
      <w:pPr>
        <w:spacing w:line="480" w:lineRule="exact"/>
        <w:ind w:firstLine="560" w:firstLineChars="200"/>
        <w:rPr>
          <w:rFonts w:hint="eastAsia"/>
          <w:b w:val="0"/>
          <w:bCs/>
          <w:sz w:val="28"/>
          <w:szCs w:val="28"/>
          <w:lang w:val="en-US" w:eastAsia="zh-CN"/>
        </w:rPr>
      </w:pPr>
      <w:r>
        <w:rPr>
          <w:rFonts w:hint="eastAsia" w:ascii="宋体" w:hAnsi="宋体"/>
          <w:sz w:val="28"/>
          <w:szCs w:val="28"/>
          <w:lang w:val="en-US" w:eastAsia="zh-CN"/>
        </w:rPr>
        <w:t>根据中国学前教育学会有关规定，在湘中国学前教育研究会规划课题研究由省学会代管，代管的具体要求参照《</w:t>
      </w:r>
      <w:r>
        <w:rPr>
          <w:rFonts w:hint="eastAsia"/>
          <w:b w:val="0"/>
          <w:bCs/>
          <w:sz w:val="28"/>
          <w:szCs w:val="28"/>
        </w:rPr>
        <w:t>湖南省学前教育</w:t>
      </w:r>
      <w:r>
        <w:rPr>
          <w:rFonts w:hint="eastAsia"/>
          <w:b w:val="0"/>
          <w:bCs/>
          <w:sz w:val="28"/>
          <w:szCs w:val="28"/>
          <w:lang w:val="en-US" w:eastAsia="zh-CN"/>
        </w:rPr>
        <w:t>规划</w:t>
      </w:r>
      <w:r>
        <w:rPr>
          <w:rFonts w:hint="eastAsia"/>
          <w:b w:val="0"/>
          <w:bCs/>
          <w:sz w:val="28"/>
          <w:szCs w:val="28"/>
        </w:rPr>
        <w:t>课题管理办法</w:t>
      </w:r>
      <w:r>
        <w:rPr>
          <w:rFonts w:hint="eastAsia"/>
          <w:b w:val="0"/>
          <w:bCs/>
          <w:sz w:val="28"/>
          <w:szCs w:val="28"/>
          <w:lang w:eastAsia="zh-CN"/>
        </w:rPr>
        <w:t>》。</w:t>
      </w:r>
    </w:p>
    <w:p>
      <w:pPr>
        <w:spacing w:line="480" w:lineRule="exact"/>
        <w:ind w:firstLine="562" w:firstLineChars="200"/>
        <w:rPr>
          <w:rFonts w:hint="default" w:ascii="宋体" w:hAnsi="宋体" w:eastAsiaTheme="minorEastAsia"/>
          <w:b/>
          <w:bCs/>
          <w:sz w:val="28"/>
          <w:szCs w:val="28"/>
          <w:lang w:val="en-US" w:eastAsia="zh-CN"/>
        </w:rPr>
      </w:pPr>
      <w:r>
        <w:rPr>
          <w:rFonts w:hint="eastAsia" w:ascii="宋体" w:hAnsi="宋体"/>
          <w:b/>
          <w:bCs/>
          <w:sz w:val="28"/>
          <w:szCs w:val="28"/>
          <w:lang w:val="en-US" w:eastAsia="zh-CN"/>
        </w:rPr>
        <w:t>六、其他</w:t>
      </w:r>
    </w:p>
    <w:p>
      <w:pPr>
        <w:spacing w:line="480" w:lineRule="exact"/>
        <w:ind w:firstLine="560" w:firstLineChars="200"/>
        <w:rPr>
          <w:rFonts w:hint="eastAsia" w:ascii="宋体" w:hAnsi="宋体"/>
          <w:sz w:val="28"/>
          <w:szCs w:val="28"/>
        </w:rPr>
      </w:pPr>
      <w:r>
        <w:rPr>
          <w:rFonts w:hint="eastAsia" w:ascii="宋体" w:hAnsi="宋体"/>
          <w:sz w:val="28"/>
          <w:szCs w:val="28"/>
          <w:lang w:val="en-US" w:eastAsia="zh-CN"/>
        </w:rPr>
        <w:t>1.湖南省学前教育规划课题研究是推动教研科研、提高学前教育水平的重要措施。各单位应给予重视和支持，单位负责人和业务骨干应积极带头。对本单位的</w:t>
      </w:r>
      <w:r>
        <w:rPr>
          <w:rFonts w:hint="eastAsia" w:ascii="宋体" w:hAnsi="宋体"/>
          <w:sz w:val="28"/>
          <w:szCs w:val="28"/>
        </w:rPr>
        <w:t>立项课题应在工作安排、经费等方面给予支持。</w:t>
      </w:r>
    </w:p>
    <w:p>
      <w:pPr>
        <w:spacing w:line="480" w:lineRule="exact"/>
        <w:ind w:firstLine="560" w:firstLineChars="200"/>
        <w:rPr>
          <w:rFonts w:hint="eastAsia" w:ascii="宋体" w:hAnsi="宋体"/>
          <w:sz w:val="28"/>
          <w:szCs w:val="28"/>
          <w:lang w:val="en-US" w:eastAsia="zh-CN"/>
        </w:rPr>
      </w:pPr>
      <w:r>
        <w:rPr>
          <w:rFonts w:hint="eastAsia" w:ascii="宋体" w:hAnsi="宋体"/>
          <w:sz w:val="28"/>
          <w:szCs w:val="28"/>
          <w:lang w:val="en-US" w:eastAsia="zh-CN"/>
        </w:rPr>
        <w:t>2.所有应缴纳的费用，一律汇至省学会账上，统收统支，单独管理，全部用于课题管理和学术活动。</w:t>
      </w:r>
    </w:p>
    <w:p>
      <w:pPr>
        <w:keepNext w:val="0"/>
        <w:keepLines w:val="0"/>
        <w:pageBreakBefore w:val="0"/>
        <w:widowControl w:val="0"/>
        <w:kinsoku/>
        <w:wordWrap/>
        <w:overflowPunct/>
        <w:topLinePunct w:val="0"/>
        <w:autoSpaceDE/>
        <w:autoSpaceDN/>
        <w:bidi w:val="0"/>
        <w:spacing w:line="480" w:lineRule="exact"/>
        <w:ind w:firstLine="640"/>
        <w:textAlignment w:val="auto"/>
        <w:rPr>
          <w:sz w:val="28"/>
          <w:szCs w:val="28"/>
        </w:rPr>
      </w:pPr>
      <w:r>
        <w:rPr>
          <w:rFonts w:hint="eastAsia"/>
          <w:sz w:val="28"/>
          <w:szCs w:val="28"/>
        </w:rPr>
        <w:t>账户名称：湖南省学前教育学会</w:t>
      </w:r>
    </w:p>
    <w:p>
      <w:pPr>
        <w:keepNext w:val="0"/>
        <w:keepLines w:val="0"/>
        <w:pageBreakBefore w:val="0"/>
        <w:widowControl w:val="0"/>
        <w:kinsoku/>
        <w:wordWrap/>
        <w:overflowPunct/>
        <w:topLinePunct w:val="0"/>
        <w:autoSpaceDE/>
        <w:autoSpaceDN/>
        <w:bidi w:val="0"/>
        <w:spacing w:line="480" w:lineRule="exact"/>
        <w:ind w:firstLine="640"/>
        <w:textAlignment w:val="auto"/>
        <w:rPr>
          <w:sz w:val="28"/>
          <w:szCs w:val="28"/>
        </w:rPr>
      </w:pPr>
      <w:r>
        <w:rPr>
          <w:rFonts w:hint="eastAsia"/>
          <w:sz w:val="28"/>
          <w:szCs w:val="28"/>
        </w:rPr>
        <w:t>账号：1901 0233 0910 0000 704</w:t>
      </w:r>
    </w:p>
    <w:p>
      <w:pPr>
        <w:keepNext w:val="0"/>
        <w:keepLines w:val="0"/>
        <w:pageBreakBefore w:val="0"/>
        <w:widowControl w:val="0"/>
        <w:kinsoku/>
        <w:wordWrap/>
        <w:overflowPunct/>
        <w:topLinePunct w:val="0"/>
        <w:autoSpaceDE/>
        <w:autoSpaceDN/>
        <w:bidi w:val="0"/>
        <w:spacing w:line="480" w:lineRule="exact"/>
        <w:ind w:firstLine="640"/>
        <w:textAlignment w:val="auto"/>
        <w:rPr>
          <w:rFonts w:hint="eastAsia"/>
          <w:sz w:val="28"/>
          <w:szCs w:val="28"/>
          <w:lang w:val="en-US" w:eastAsia="zh-CN"/>
        </w:rPr>
      </w:pPr>
      <w:r>
        <w:rPr>
          <w:rFonts w:hint="eastAsia"/>
          <w:sz w:val="28"/>
          <w:szCs w:val="28"/>
        </w:rPr>
        <w:t>开户行：中国工商银行星沙支行天华北路</w:t>
      </w:r>
      <w:r>
        <w:rPr>
          <w:rFonts w:hint="eastAsia"/>
          <w:sz w:val="28"/>
          <w:szCs w:val="28"/>
          <w:lang w:val="en-US" w:eastAsia="zh-CN"/>
        </w:rPr>
        <w:t>分理处</w:t>
      </w:r>
    </w:p>
    <w:p>
      <w:pPr>
        <w:keepNext w:val="0"/>
        <w:keepLines w:val="0"/>
        <w:pageBreakBefore w:val="0"/>
        <w:widowControl w:val="0"/>
        <w:kinsoku/>
        <w:wordWrap/>
        <w:overflowPunct/>
        <w:topLinePunct w:val="0"/>
        <w:autoSpaceDE/>
        <w:autoSpaceDN/>
        <w:bidi w:val="0"/>
        <w:spacing w:line="480" w:lineRule="exact"/>
        <w:ind w:firstLine="640"/>
        <w:textAlignment w:val="auto"/>
        <w:rPr>
          <w:rFonts w:hint="default"/>
          <w:sz w:val="28"/>
          <w:szCs w:val="28"/>
          <w:lang w:val="en-US" w:eastAsia="zh-CN"/>
        </w:rPr>
      </w:pPr>
    </w:p>
    <w:p>
      <w:pPr>
        <w:tabs>
          <w:tab w:val="left" w:pos="478"/>
        </w:tabs>
        <w:spacing w:line="480" w:lineRule="exact"/>
        <w:ind w:firstLine="560" w:firstLineChars="200"/>
        <w:rPr>
          <w:rFonts w:hint="eastAsia" w:ascii="宋体" w:hAnsi="宋体"/>
          <w:sz w:val="28"/>
          <w:szCs w:val="28"/>
        </w:rPr>
      </w:pPr>
      <w:r>
        <w:rPr>
          <w:rFonts w:hint="eastAsia" w:ascii="宋体" w:hAnsi="宋体"/>
          <w:sz w:val="28"/>
          <w:szCs w:val="28"/>
          <w:lang w:eastAsia="zh-CN"/>
        </w:rPr>
        <w:tab/>
      </w:r>
      <w:r>
        <w:rPr>
          <w:rFonts w:hint="eastAsia" w:ascii="宋体" w:hAnsi="宋体"/>
          <w:sz w:val="28"/>
          <w:szCs w:val="28"/>
        </w:rPr>
        <w:t xml:space="preserve">                                 </w:t>
      </w:r>
    </w:p>
    <w:p>
      <w:pPr>
        <w:spacing w:line="480" w:lineRule="exact"/>
        <w:ind w:firstLine="5320" w:firstLineChars="1900"/>
        <w:rPr>
          <w:rFonts w:hint="eastAsia" w:ascii="宋体" w:hAnsi="宋体"/>
          <w:sz w:val="28"/>
          <w:szCs w:val="28"/>
        </w:rPr>
      </w:pPr>
      <w:r>
        <w:rPr>
          <w:rFonts w:hint="eastAsia" w:ascii="宋体" w:hAnsi="宋体"/>
          <w:sz w:val="28"/>
          <w:szCs w:val="28"/>
        </w:rPr>
        <w:t xml:space="preserve"> 湖南省学前教育学会</w:t>
      </w:r>
    </w:p>
    <w:p>
      <w:pPr>
        <w:spacing w:line="480" w:lineRule="exact"/>
        <w:ind w:firstLine="560" w:firstLineChars="200"/>
      </w:pPr>
      <w:r>
        <w:rPr>
          <w:rFonts w:hint="eastAsia" w:ascii="宋体" w:hAnsi="宋体"/>
          <w:sz w:val="28"/>
          <w:szCs w:val="28"/>
        </w:rPr>
        <w:t xml:space="preserve">                                </w:t>
      </w:r>
      <w:r>
        <w:rPr>
          <w:rFonts w:hint="eastAsia" w:ascii="宋体" w:hAnsi="宋体"/>
          <w:sz w:val="28"/>
          <w:szCs w:val="28"/>
          <w:lang w:val="en-US" w:eastAsia="zh-CN"/>
        </w:rPr>
        <w:t xml:space="preserve">    2020</w:t>
      </w:r>
      <w:r>
        <w:rPr>
          <w:rFonts w:hint="eastAsia" w:ascii="宋体" w:hAnsi="宋体"/>
          <w:sz w:val="28"/>
          <w:szCs w:val="28"/>
        </w:rPr>
        <w:t>年</w:t>
      </w:r>
      <w:r>
        <w:rPr>
          <w:rFonts w:hint="eastAsia" w:ascii="宋体" w:hAnsi="宋体"/>
          <w:sz w:val="28"/>
          <w:szCs w:val="28"/>
          <w:lang w:val="en-US" w:eastAsia="zh-CN"/>
        </w:rPr>
        <w:t>11</w:t>
      </w:r>
      <w:r>
        <w:rPr>
          <w:rFonts w:hint="eastAsia" w:ascii="宋体" w:hAnsi="宋体"/>
          <w:sz w:val="28"/>
          <w:szCs w:val="28"/>
        </w:rPr>
        <w:t>月</w:t>
      </w:r>
      <w:r>
        <w:rPr>
          <w:rFonts w:hint="eastAsia" w:ascii="宋体" w:hAnsi="宋体"/>
          <w:sz w:val="28"/>
          <w:szCs w:val="28"/>
          <w:lang w:val="en-US" w:eastAsia="zh-CN"/>
        </w:rPr>
        <w:t>20</w:t>
      </w:r>
      <w:r>
        <w:rPr>
          <w:rFonts w:hint="eastAsia" w:ascii="宋体" w:hAnsi="宋体"/>
          <w:sz w:val="28"/>
          <w:szCs w:val="28"/>
        </w:rPr>
        <w:t>日</w:t>
      </w:r>
    </w:p>
    <w:p>
      <w:pPr>
        <w:pStyle w:val="2"/>
      </w:pPr>
    </w:p>
    <w:p/>
    <w:p>
      <w:pPr>
        <w:rPr>
          <w:b/>
          <w:sz w:val="36"/>
          <w:szCs w:val="36"/>
        </w:rPr>
      </w:pPr>
      <w:r>
        <w:rPr>
          <w:b/>
          <w:sz w:val="36"/>
          <w:szCs w:val="36"/>
        </w:rPr>
        <w:br w:type="page"/>
      </w:r>
    </w:p>
    <w:p>
      <w:pPr>
        <w:rPr>
          <w:rFonts w:hint="eastAsia"/>
          <w:b/>
          <w:bCs/>
          <w:sz w:val="28"/>
          <w:szCs w:val="28"/>
        </w:rPr>
      </w:pPr>
      <w:r>
        <w:rPr>
          <w:rFonts w:hint="eastAsia"/>
          <w:b/>
          <w:bCs/>
          <w:sz w:val="28"/>
          <w:szCs w:val="28"/>
        </w:rPr>
        <w:t>附件3：</w:t>
      </w:r>
    </w:p>
    <w:p>
      <w:pPr>
        <w:pStyle w:val="2"/>
        <w:ind w:left="0" w:leftChars="0" w:firstLine="0" w:firstLineChars="0"/>
      </w:pPr>
    </w:p>
    <w:p>
      <w:pPr>
        <w:pStyle w:val="2"/>
        <w:ind w:left="0" w:leftChars="0" w:firstLine="0" w:firstLineChars="0"/>
      </w:pPr>
    </w:p>
    <w:p>
      <w:pPr>
        <w:pStyle w:val="2"/>
        <w:ind w:left="0" w:leftChars="0" w:firstLine="0" w:firstLineChars="0"/>
      </w:pPr>
    </w:p>
    <w:p>
      <w:pPr>
        <w:pStyle w:val="2"/>
        <w:ind w:left="0" w:leftChars="0" w:firstLine="0" w:firstLineChars="0"/>
      </w:pPr>
    </w:p>
    <w:p>
      <w:pPr>
        <w:jc w:val="center"/>
        <w:rPr>
          <w:rFonts w:hint="eastAsia"/>
          <w:b/>
          <w:sz w:val="48"/>
          <w:szCs w:val="48"/>
        </w:rPr>
      </w:pPr>
      <w:r>
        <w:rPr>
          <w:rFonts w:hint="eastAsia"/>
          <w:b/>
          <w:sz w:val="48"/>
          <w:szCs w:val="48"/>
        </w:rPr>
        <w:t>湖南省学前教育规划课题</w:t>
      </w:r>
    </w:p>
    <w:p>
      <w:pPr>
        <w:jc w:val="center"/>
        <w:rPr>
          <w:rFonts w:hint="eastAsia"/>
          <w:b/>
          <w:sz w:val="48"/>
          <w:szCs w:val="48"/>
        </w:rPr>
      </w:pPr>
    </w:p>
    <w:p>
      <w:pPr>
        <w:jc w:val="center"/>
        <w:rPr>
          <w:rFonts w:hint="eastAsia"/>
          <w:b/>
          <w:sz w:val="48"/>
          <w:szCs w:val="48"/>
        </w:rPr>
      </w:pPr>
      <w:r>
        <w:rPr>
          <w:rFonts w:hint="eastAsia"/>
          <w:b/>
          <w:sz w:val="48"/>
          <w:szCs w:val="48"/>
        </w:rPr>
        <w:t>申报书</w:t>
      </w:r>
    </w:p>
    <w:p>
      <w:pPr>
        <w:jc w:val="center"/>
        <w:rPr>
          <w:rFonts w:hint="eastAsia"/>
          <w:b/>
          <w:sz w:val="48"/>
          <w:szCs w:val="48"/>
        </w:rPr>
      </w:pPr>
    </w:p>
    <w:p/>
    <w:p>
      <w:pPr>
        <w:jc w:val="center"/>
      </w:pPr>
    </w:p>
    <w:p/>
    <w:p/>
    <w:p/>
    <w:p/>
    <w:p/>
    <w:p/>
    <w:p/>
    <w:p/>
    <w:p/>
    <w:p>
      <w:pPr>
        <w:spacing w:line="560" w:lineRule="exact"/>
        <w:rPr>
          <w:sz w:val="24"/>
        </w:rPr>
      </w:pPr>
    </w:p>
    <w:p>
      <w:pPr>
        <w:spacing w:line="560" w:lineRule="exact"/>
        <w:ind w:firstLine="992" w:firstLineChars="310"/>
        <w:rPr>
          <w:rFonts w:ascii="仿宋" w:hAnsi="仿宋" w:eastAsia="仿宋" w:cs="仿宋"/>
          <w:sz w:val="32"/>
          <w:szCs w:val="28"/>
          <w:u w:val="single"/>
        </w:rPr>
      </w:pPr>
      <w:r>
        <w:rPr>
          <w:rFonts w:hint="eastAsia" w:ascii="仿宋" w:hAnsi="仿宋" w:eastAsia="仿宋" w:cs="仿宋"/>
          <w:sz w:val="32"/>
          <w:szCs w:val="28"/>
        </w:rPr>
        <w:t>课题名称</w:t>
      </w:r>
      <w:bookmarkStart w:id="0" w:name="_Hlk35867629"/>
      <w:r>
        <w:rPr>
          <w:rFonts w:hint="eastAsia" w:ascii="仿宋" w:hAnsi="仿宋" w:eastAsia="仿宋" w:cs="仿宋"/>
          <w:sz w:val="32"/>
          <w:szCs w:val="28"/>
        </w:rPr>
        <w:t xml:space="preserve"> </w:t>
      </w:r>
      <w:r>
        <w:rPr>
          <w:rFonts w:ascii="仿宋" w:hAnsi="仿宋" w:eastAsia="仿宋" w:cs="仿宋"/>
          <w:sz w:val="32"/>
          <w:szCs w:val="28"/>
          <w:u w:val="single"/>
        </w:rPr>
        <w:t xml:space="preserve">                              </w:t>
      </w:r>
      <w:bookmarkEnd w:id="0"/>
    </w:p>
    <w:p>
      <w:pPr>
        <w:spacing w:line="560" w:lineRule="exact"/>
        <w:ind w:firstLine="992" w:firstLineChars="310"/>
        <w:rPr>
          <w:rFonts w:ascii="仿宋" w:hAnsi="仿宋" w:eastAsia="仿宋" w:cs="仿宋"/>
          <w:sz w:val="32"/>
          <w:szCs w:val="28"/>
          <w:u w:val="single"/>
        </w:rPr>
      </w:pPr>
      <w:r>
        <w:rPr>
          <w:rFonts w:hint="eastAsia" w:ascii="仿宋" w:hAnsi="仿宋" w:eastAsia="仿宋" w:cs="仿宋"/>
          <w:sz w:val="32"/>
          <w:szCs w:val="28"/>
        </w:rPr>
        <w:t xml:space="preserve">课题负责人 </w:t>
      </w:r>
      <w:r>
        <w:rPr>
          <w:rFonts w:hint="eastAsia" w:ascii="仿宋" w:hAnsi="仿宋" w:eastAsia="仿宋" w:cs="仿宋"/>
          <w:sz w:val="32"/>
          <w:szCs w:val="28"/>
          <w:u w:val="single"/>
        </w:rPr>
        <w:t xml:space="preserve"> </w:t>
      </w:r>
      <w:r>
        <w:rPr>
          <w:rFonts w:ascii="仿宋" w:hAnsi="仿宋" w:eastAsia="仿宋" w:cs="仿宋"/>
          <w:sz w:val="32"/>
          <w:szCs w:val="28"/>
          <w:u w:val="single"/>
        </w:rPr>
        <w:t xml:space="preserve">                           </w:t>
      </w:r>
    </w:p>
    <w:p>
      <w:pPr>
        <w:spacing w:line="560" w:lineRule="exact"/>
        <w:ind w:firstLine="992" w:firstLineChars="310"/>
        <w:rPr>
          <w:rFonts w:ascii="仿宋" w:hAnsi="仿宋" w:eastAsia="仿宋" w:cs="仿宋"/>
          <w:sz w:val="32"/>
          <w:szCs w:val="28"/>
        </w:rPr>
      </w:pPr>
      <w:r>
        <w:rPr>
          <w:rFonts w:hint="eastAsia" w:ascii="仿宋" w:hAnsi="仿宋" w:eastAsia="仿宋" w:cs="仿宋"/>
          <w:sz w:val="32"/>
          <w:szCs w:val="28"/>
        </w:rPr>
        <w:t xml:space="preserve">所在单位 </w:t>
      </w:r>
      <w:r>
        <w:rPr>
          <w:rFonts w:hint="eastAsia" w:ascii="仿宋" w:hAnsi="仿宋" w:eastAsia="仿宋" w:cs="仿宋"/>
          <w:sz w:val="32"/>
          <w:szCs w:val="28"/>
          <w:u w:val="single"/>
        </w:rPr>
        <w:t xml:space="preserve"> </w:t>
      </w:r>
      <w:r>
        <w:rPr>
          <w:rFonts w:ascii="仿宋" w:hAnsi="仿宋" w:eastAsia="仿宋" w:cs="仿宋"/>
          <w:sz w:val="32"/>
          <w:szCs w:val="28"/>
          <w:u w:val="single"/>
        </w:rPr>
        <w:t xml:space="preserve">                             </w:t>
      </w:r>
    </w:p>
    <w:p>
      <w:pPr>
        <w:spacing w:line="560" w:lineRule="exact"/>
        <w:ind w:firstLine="992" w:firstLineChars="310"/>
        <w:rPr>
          <w:rFonts w:ascii="仿宋" w:hAnsi="仿宋" w:eastAsia="仿宋" w:cs="仿宋"/>
          <w:sz w:val="32"/>
          <w:szCs w:val="28"/>
          <w:u w:val="single"/>
        </w:rPr>
      </w:pPr>
      <w:r>
        <w:rPr>
          <w:rFonts w:hint="eastAsia" w:ascii="仿宋" w:hAnsi="仿宋" w:eastAsia="仿宋" w:cs="仿宋"/>
          <w:sz w:val="32"/>
          <w:szCs w:val="28"/>
        </w:rPr>
        <w:t xml:space="preserve">填表日期 </w:t>
      </w:r>
      <w:r>
        <w:rPr>
          <w:rFonts w:hint="eastAsia" w:ascii="仿宋" w:hAnsi="仿宋" w:eastAsia="仿宋" w:cs="仿宋"/>
          <w:sz w:val="32"/>
          <w:szCs w:val="28"/>
          <w:u w:val="single"/>
        </w:rPr>
        <w:t xml:space="preserve"> </w:t>
      </w:r>
      <w:r>
        <w:rPr>
          <w:rFonts w:ascii="仿宋" w:hAnsi="仿宋" w:eastAsia="仿宋" w:cs="仿宋"/>
          <w:sz w:val="32"/>
          <w:szCs w:val="28"/>
          <w:u w:val="single"/>
        </w:rPr>
        <w:t xml:space="preserve">                             </w:t>
      </w:r>
    </w:p>
    <w:p>
      <w:pPr>
        <w:spacing w:line="560" w:lineRule="exact"/>
        <w:ind w:firstLine="744" w:firstLineChars="310"/>
        <w:rPr>
          <w:sz w:val="24"/>
          <w:u w:val="single"/>
        </w:rPr>
      </w:pPr>
    </w:p>
    <w:p>
      <w:pPr>
        <w:sectPr>
          <w:footerReference r:id="rId3" w:type="default"/>
          <w:pgSz w:w="11906" w:h="16838"/>
          <w:pgMar w:top="1440" w:right="1800" w:bottom="1440" w:left="1800" w:header="851" w:footer="992" w:gutter="0"/>
          <w:cols w:space="720" w:num="1"/>
          <w:docGrid w:type="lines" w:linePitch="312" w:charSpace="0"/>
        </w:sectPr>
      </w:pPr>
    </w:p>
    <w:p>
      <w:pPr>
        <w:spacing w:line="560" w:lineRule="exact"/>
        <w:jc w:val="center"/>
        <w:rPr>
          <w:b/>
          <w:sz w:val="30"/>
          <w:szCs w:val="30"/>
        </w:rPr>
      </w:pPr>
    </w:p>
    <w:p>
      <w:pPr>
        <w:spacing w:line="560" w:lineRule="exact"/>
        <w:jc w:val="center"/>
        <w:rPr>
          <w:b/>
          <w:sz w:val="30"/>
          <w:szCs w:val="30"/>
        </w:rPr>
      </w:pPr>
      <w:r>
        <w:rPr>
          <w:rFonts w:hint="eastAsia"/>
          <w:b/>
          <w:sz w:val="30"/>
          <w:szCs w:val="30"/>
        </w:rPr>
        <w:t>填表说明</w:t>
      </w:r>
    </w:p>
    <w:p>
      <w:pPr>
        <w:spacing w:line="560" w:lineRule="exact"/>
        <w:rPr>
          <w:b/>
          <w:sz w:val="30"/>
          <w:szCs w:val="30"/>
        </w:rPr>
      </w:pPr>
    </w:p>
    <w:p>
      <w:pPr>
        <w:spacing w:line="560" w:lineRule="exact"/>
        <w:ind w:firstLine="560" w:firstLineChars="200"/>
        <w:rPr>
          <w:sz w:val="28"/>
          <w:szCs w:val="28"/>
        </w:rPr>
      </w:pPr>
      <w:r>
        <w:rPr>
          <w:rFonts w:hint="eastAsia"/>
          <w:sz w:val="28"/>
          <w:szCs w:val="28"/>
        </w:rPr>
        <w:t>一、请用钢笔如实填写（可以打印填表），书写要清晰工整。</w:t>
      </w:r>
    </w:p>
    <w:p>
      <w:pPr>
        <w:spacing w:line="560" w:lineRule="exact"/>
        <w:ind w:firstLine="560" w:firstLineChars="200"/>
        <w:rPr>
          <w:sz w:val="28"/>
          <w:szCs w:val="28"/>
        </w:rPr>
      </w:pPr>
      <w:r>
        <w:rPr>
          <w:rFonts w:hint="eastAsia"/>
          <w:sz w:val="28"/>
          <w:szCs w:val="28"/>
        </w:rPr>
        <w:t>二、填写中如栏目篇幅不够，可自行加页</w:t>
      </w:r>
    </w:p>
    <w:p>
      <w:pPr>
        <w:spacing w:line="560" w:lineRule="exact"/>
        <w:ind w:firstLine="560" w:firstLineChars="200"/>
        <w:rPr>
          <w:sz w:val="28"/>
          <w:szCs w:val="28"/>
        </w:rPr>
      </w:pPr>
      <w:r>
        <w:rPr>
          <w:rFonts w:hint="eastAsia"/>
          <w:sz w:val="28"/>
          <w:szCs w:val="28"/>
        </w:rPr>
        <w:t>三、数据表填写要求</w:t>
      </w:r>
    </w:p>
    <w:p>
      <w:pPr>
        <w:spacing w:line="560" w:lineRule="exact"/>
        <w:ind w:firstLine="560" w:firstLineChars="200"/>
        <w:rPr>
          <w:sz w:val="28"/>
          <w:szCs w:val="28"/>
        </w:rPr>
      </w:pPr>
      <w:r>
        <w:rPr>
          <w:rFonts w:hint="eastAsia"/>
          <w:sz w:val="28"/>
          <w:szCs w:val="28"/>
        </w:rPr>
        <w:t>1.工作单位：请填写单位全称。</w:t>
      </w:r>
    </w:p>
    <w:p>
      <w:pPr>
        <w:spacing w:line="560" w:lineRule="exact"/>
        <w:ind w:firstLine="560" w:firstLineChars="200"/>
        <w:rPr>
          <w:sz w:val="28"/>
          <w:szCs w:val="28"/>
        </w:rPr>
      </w:pPr>
      <w:r>
        <w:rPr>
          <w:rFonts w:hint="eastAsia"/>
          <w:sz w:val="28"/>
          <w:szCs w:val="28"/>
        </w:rPr>
        <w:t>2.通讯地址：按所列四个部分详细填写。</w:t>
      </w:r>
    </w:p>
    <w:p>
      <w:pPr>
        <w:spacing w:line="560" w:lineRule="exact"/>
        <w:ind w:firstLine="560" w:firstLineChars="200"/>
        <w:rPr>
          <w:sz w:val="28"/>
          <w:szCs w:val="28"/>
        </w:rPr>
      </w:pPr>
      <w:r>
        <w:rPr>
          <w:rFonts w:hint="eastAsia"/>
          <w:sz w:val="28"/>
          <w:szCs w:val="28"/>
        </w:rPr>
        <w:t>四、主要参加者：指真正参加本课题实质性研究的工作者，不含课题负责人。</w:t>
      </w:r>
    </w:p>
    <w:p>
      <w:pPr>
        <w:spacing w:line="560" w:lineRule="exact"/>
        <w:ind w:firstLine="560" w:firstLineChars="200"/>
        <w:rPr>
          <w:sz w:val="28"/>
          <w:szCs w:val="28"/>
        </w:rPr>
      </w:pPr>
      <w:r>
        <w:rPr>
          <w:rFonts w:hint="eastAsia"/>
          <w:sz w:val="28"/>
          <w:szCs w:val="28"/>
        </w:rPr>
        <w:t>五、申请书须经课题负责人所在单位领导审核，签署明确意见，加盖公章后方可上报。</w:t>
      </w:r>
    </w:p>
    <w:p>
      <w:pPr>
        <w:spacing w:line="560" w:lineRule="exact"/>
        <w:ind w:firstLine="557" w:firstLineChars="198"/>
        <w:rPr>
          <w:b/>
          <w:sz w:val="28"/>
          <w:szCs w:val="28"/>
        </w:rPr>
      </w:pPr>
    </w:p>
    <w:p>
      <w:pPr>
        <w:spacing w:line="560" w:lineRule="exact"/>
        <w:ind w:firstLine="557" w:firstLineChars="198"/>
        <w:rPr>
          <w:b/>
          <w:sz w:val="28"/>
          <w:szCs w:val="28"/>
        </w:rPr>
      </w:pPr>
    </w:p>
    <w:p>
      <w:pPr>
        <w:spacing w:line="560" w:lineRule="exact"/>
        <w:ind w:firstLine="557" w:firstLineChars="198"/>
        <w:rPr>
          <w:b/>
          <w:sz w:val="28"/>
          <w:szCs w:val="28"/>
        </w:rPr>
      </w:pPr>
    </w:p>
    <w:p>
      <w:pPr>
        <w:spacing w:line="560" w:lineRule="exact"/>
        <w:ind w:firstLine="557" w:firstLineChars="198"/>
        <w:rPr>
          <w:b/>
          <w:sz w:val="28"/>
          <w:szCs w:val="28"/>
        </w:rPr>
      </w:pPr>
    </w:p>
    <w:p>
      <w:pPr>
        <w:spacing w:line="560" w:lineRule="exact"/>
        <w:ind w:firstLine="557" w:firstLineChars="198"/>
        <w:rPr>
          <w:b/>
          <w:sz w:val="28"/>
          <w:szCs w:val="28"/>
        </w:rPr>
      </w:pPr>
    </w:p>
    <w:p>
      <w:pPr>
        <w:spacing w:line="560" w:lineRule="exact"/>
        <w:ind w:firstLine="557" w:firstLineChars="198"/>
        <w:rPr>
          <w:b/>
          <w:sz w:val="28"/>
          <w:szCs w:val="28"/>
        </w:rPr>
      </w:pPr>
    </w:p>
    <w:p>
      <w:pPr>
        <w:spacing w:line="560" w:lineRule="exact"/>
        <w:ind w:firstLine="557" w:firstLineChars="198"/>
        <w:rPr>
          <w:b/>
          <w:sz w:val="28"/>
          <w:szCs w:val="28"/>
        </w:rPr>
      </w:pPr>
    </w:p>
    <w:p>
      <w:pPr>
        <w:spacing w:line="560" w:lineRule="exact"/>
        <w:ind w:firstLine="557" w:firstLineChars="198"/>
        <w:rPr>
          <w:b/>
          <w:sz w:val="28"/>
          <w:szCs w:val="28"/>
        </w:rPr>
      </w:pPr>
    </w:p>
    <w:p>
      <w:pPr>
        <w:spacing w:line="560" w:lineRule="exact"/>
        <w:ind w:firstLine="557" w:firstLineChars="198"/>
        <w:rPr>
          <w:b/>
          <w:sz w:val="28"/>
          <w:szCs w:val="28"/>
        </w:rPr>
      </w:pPr>
    </w:p>
    <w:p>
      <w:pPr>
        <w:spacing w:line="560" w:lineRule="exact"/>
        <w:ind w:firstLine="557" w:firstLineChars="198"/>
        <w:rPr>
          <w:b/>
          <w:sz w:val="28"/>
          <w:szCs w:val="28"/>
        </w:rPr>
      </w:pPr>
    </w:p>
    <w:p>
      <w:pPr>
        <w:spacing w:line="560" w:lineRule="exact"/>
        <w:ind w:firstLine="557" w:firstLineChars="198"/>
        <w:rPr>
          <w:b/>
          <w:sz w:val="28"/>
          <w:szCs w:val="28"/>
        </w:rPr>
      </w:pPr>
    </w:p>
    <w:p>
      <w:pPr>
        <w:spacing w:line="560" w:lineRule="exact"/>
        <w:ind w:firstLine="557" w:firstLineChars="198"/>
        <w:rPr>
          <w:b/>
          <w:sz w:val="28"/>
          <w:szCs w:val="28"/>
        </w:rPr>
      </w:pPr>
    </w:p>
    <w:p>
      <w:pPr>
        <w:spacing w:line="560" w:lineRule="exact"/>
        <w:ind w:firstLine="557" w:firstLineChars="198"/>
        <w:rPr>
          <w:b/>
          <w:sz w:val="28"/>
          <w:szCs w:val="28"/>
        </w:rPr>
      </w:pPr>
      <w:r>
        <w:rPr>
          <w:rFonts w:hint="eastAsia"/>
          <w:b/>
          <w:sz w:val="28"/>
          <w:szCs w:val="28"/>
        </w:rPr>
        <w:t>一、数据表</w:t>
      </w:r>
    </w:p>
    <w:p>
      <w:pPr>
        <w:spacing w:line="560" w:lineRule="exact"/>
        <w:ind w:firstLine="477" w:firstLineChars="198"/>
        <w:rPr>
          <w:b/>
          <w:sz w:val="24"/>
        </w:rPr>
      </w:pPr>
      <w:r>
        <w:rPr>
          <w:rFonts w:hint="eastAsia"/>
          <w:b/>
          <w:sz w:val="24"/>
        </w:rPr>
        <w:t>（一）课题负责人</w:t>
      </w:r>
    </w:p>
    <w:tbl>
      <w:tblPr>
        <w:tblStyle w:val="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1620"/>
        <w:gridCol w:w="1080"/>
        <w:gridCol w:w="540"/>
        <w:gridCol w:w="1080"/>
        <w:gridCol w:w="144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728" w:type="dxa"/>
            <w:vAlign w:val="center"/>
          </w:tcPr>
          <w:p>
            <w:pPr>
              <w:spacing w:line="560" w:lineRule="exact"/>
              <w:jc w:val="center"/>
              <w:rPr>
                <w:sz w:val="24"/>
              </w:rPr>
            </w:pPr>
            <w:r>
              <w:rPr>
                <w:rFonts w:hint="eastAsia"/>
                <w:sz w:val="24"/>
              </w:rPr>
              <w:t>负责人姓名</w:t>
            </w:r>
          </w:p>
        </w:tc>
        <w:tc>
          <w:tcPr>
            <w:tcW w:w="1620" w:type="dxa"/>
            <w:vAlign w:val="center"/>
          </w:tcPr>
          <w:p>
            <w:pPr>
              <w:spacing w:line="560" w:lineRule="exact"/>
              <w:jc w:val="center"/>
              <w:rPr>
                <w:sz w:val="24"/>
              </w:rPr>
            </w:pPr>
          </w:p>
        </w:tc>
        <w:tc>
          <w:tcPr>
            <w:tcW w:w="1080" w:type="dxa"/>
            <w:vAlign w:val="center"/>
          </w:tcPr>
          <w:p>
            <w:pPr>
              <w:spacing w:line="560" w:lineRule="exact"/>
              <w:jc w:val="center"/>
              <w:rPr>
                <w:sz w:val="24"/>
              </w:rPr>
            </w:pPr>
            <w:r>
              <w:rPr>
                <w:rFonts w:hint="eastAsia"/>
                <w:sz w:val="24"/>
              </w:rPr>
              <w:t>性别</w:t>
            </w:r>
          </w:p>
        </w:tc>
        <w:tc>
          <w:tcPr>
            <w:tcW w:w="1620" w:type="dxa"/>
            <w:gridSpan w:val="2"/>
            <w:vAlign w:val="center"/>
          </w:tcPr>
          <w:p>
            <w:pPr>
              <w:spacing w:line="560" w:lineRule="exact"/>
              <w:jc w:val="center"/>
              <w:rPr>
                <w:sz w:val="24"/>
              </w:rPr>
            </w:pPr>
          </w:p>
        </w:tc>
        <w:tc>
          <w:tcPr>
            <w:tcW w:w="1440" w:type="dxa"/>
            <w:vAlign w:val="center"/>
          </w:tcPr>
          <w:p>
            <w:pPr>
              <w:spacing w:line="560" w:lineRule="exact"/>
              <w:jc w:val="center"/>
              <w:rPr>
                <w:sz w:val="24"/>
              </w:rPr>
            </w:pPr>
            <w:r>
              <w:rPr>
                <w:rFonts w:hint="eastAsia"/>
                <w:sz w:val="24"/>
              </w:rPr>
              <w:t>出生年月</w:t>
            </w:r>
          </w:p>
        </w:tc>
        <w:tc>
          <w:tcPr>
            <w:tcW w:w="1620" w:type="dxa"/>
            <w:vAlign w:val="center"/>
          </w:tcPr>
          <w:p>
            <w:pPr>
              <w:spacing w:line="560" w:lineRule="exact"/>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728" w:type="dxa"/>
            <w:vAlign w:val="center"/>
          </w:tcPr>
          <w:p>
            <w:pPr>
              <w:spacing w:line="560" w:lineRule="exact"/>
              <w:jc w:val="center"/>
              <w:rPr>
                <w:sz w:val="24"/>
              </w:rPr>
            </w:pPr>
            <w:r>
              <w:rPr>
                <w:rFonts w:hint="eastAsia"/>
                <w:sz w:val="24"/>
              </w:rPr>
              <w:t>行政职务</w:t>
            </w:r>
          </w:p>
        </w:tc>
        <w:tc>
          <w:tcPr>
            <w:tcW w:w="1620" w:type="dxa"/>
            <w:vAlign w:val="center"/>
          </w:tcPr>
          <w:p>
            <w:pPr>
              <w:spacing w:line="560" w:lineRule="exact"/>
              <w:jc w:val="center"/>
              <w:rPr>
                <w:sz w:val="24"/>
              </w:rPr>
            </w:pPr>
          </w:p>
        </w:tc>
        <w:tc>
          <w:tcPr>
            <w:tcW w:w="1080" w:type="dxa"/>
            <w:vAlign w:val="center"/>
          </w:tcPr>
          <w:p>
            <w:pPr>
              <w:spacing w:line="560" w:lineRule="exact"/>
              <w:jc w:val="center"/>
              <w:rPr>
                <w:sz w:val="24"/>
              </w:rPr>
            </w:pPr>
            <w:r>
              <w:rPr>
                <w:rFonts w:hint="eastAsia"/>
                <w:sz w:val="24"/>
              </w:rPr>
              <w:t>职称</w:t>
            </w:r>
          </w:p>
        </w:tc>
        <w:tc>
          <w:tcPr>
            <w:tcW w:w="1620" w:type="dxa"/>
            <w:gridSpan w:val="2"/>
            <w:vAlign w:val="center"/>
          </w:tcPr>
          <w:p>
            <w:pPr>
              <w:spacing w:line="560" w:lineRule="exact"/>
              <w:jc w:val="center"/>
              <w:rPr>
                <w:sz w:val="24"/>
              </w:rPr>
            </w:pPr>
          </w:p>
        </w:tc>
        <w:tc>
          <w:tcPr>
            <w:tcW w:w="1440" w:type="dxa"/>
            <w:vAlign w:val="center"/>
          </w:tcPr>
          <w:p>
            <w:pPr>
              <w:spacing w:line="560" w:lineRule="exact"/>
              <w:jc w:val="center"/>
              <w:rPr>
                <w:sz w:val="24"/>
              </w:rPr>
            </w:pPr>
            <w:r>
              <w:rPr>
                <w:rFonts w:hint="eastAsia"/>
                <w:sz w:val="24"/>
              </w:rPr>
              <w:t>学历</w:t>
            </w:r>
          </w:p>
        </w:tc>
        <w:tc>
          <w:tcPr>
            <w:tcW w:w="1620" w:type="dxa"/>
            <w:vAlign w:val="center"/>
          </w:tcPr>
          <w:p>
            <w:pPr>
              <w:spacing w:line="560" w:lineRule="exact"/>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1728" w:type="dxa"/>
            <w:vAlign w:val="center"/>
          </w:tcPr>
          <w:p>
            <w:pPr>
              <w:spacing w:line="300" w:lineRule="exact"/>
              <w:jc w:val="center"/>
              <w:rPr>
                <w:szCs w:val="21"/>
              </w:rPr>
            </w:pPr>
            <w:r>
              <w:rPr>
                <w:rFonts w:hint="eastAsia"/>
                <w:szCs w:val="21"/>
              </w:rPr>
              <w:t>何时参加湖南省学前教育学会</w:t>
            </w:r>
          </w:p>
        </w:tc>
        <w:tc>
          <w:tcPr>
            <w:tcW w:w="4320" w:type="dxa"/>
            <w:gridSpan w:val="4"/>
            <w:vAlign w:val="center"/>
          </w:tcPr>
          <w:p>
            <w:pPr>
              <w:spacing w:line="560" w:lineRule="exact"/>
              <w:jc w:val="center"/>
              <w:rPr>
                <w:sz w:val="24"/>
              </w:rPr>
            </w:pPr>
          </w:p>
        </w:tc>
        <w:tc>
          <w:tcPr>
            <w:tcW w:w="1440" w:type="dxa"/>
            <w:vAlign w:val="center"/>
          </w:tcPr>
          <w:p>
            <w:pPr>
              <w:spacing w:line="560" w:lineRule="exact"/>
              <w:jc w:val="center"/>
              <w:rPr>
                <w:sz w:val="24"/>
              </w:rPr>
            </w:pPr>
            <w:r>
              <w:rPr>
                <w:rFonts w:hint="eastAsia"/>
                <w:sz w:val="24"/>
              </w:rPr>
              <w:t>邮编</w:t>
            </w:r>
          </w:p>
        </w:tc>
        <w:tc>
          <w:tcPr>
            <w:tcW w:w="1620" w:type="dxa"/>
            <w:vAlign w:val="center"/>
          </w:tcPr>
          <w:p>
            <w:pPr>
              <w:spacing w:line="560" w:lineRule="exact"/>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5" w:hRule="exact"/>
        </w:trPr>
        <w:tc>
          <w:tcPr>
            <w:tcW w:w="1728" w:type="dxa"/>
            <w:vAlign w:val="center"/>
          </w:tcPr>
          <w:p>
            <w:pPr>
              <w:spacing w:line="560" w:lineRule="exact"/>
              <w:jc w:val="center"/>
              <w:rPr>
                <w:sz w:val="24"/>
              </w:rPr>
            </w:pPr>
            <w:r>
              <w:rPr>
                <w:rFonts w:hint="eastAsia"/>
                <w:sz w:val="24"/>
              </w:rPr>
              <w:t>通讯地址</w:t>
            </w:r>
          </w:p>
        </w:tc>
        <w:tc>
          <w:tcPr>
            <w:tcW w:w="7380" w:type="dxa"/>
            <w:gridSpan w:val="6"/>
            <w:vAlign w:val="center"/>
          </w:tcPr>
          <w:p>
            <w:pPr>
              <w:spacing w:line="560" w:lineRule="exact"/>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728" w:type="dxa"/>
            <w:vAlign w:val="center"/>
          </w:tcPr>
          <w:p>
            <w:pPr>
              <w:spacing w:line="560" w:lineRule="exact"/>
              <w:jc w:val="center"/>
              <w:rPr>
                <w:sz w:val="24"/>
              </w:rPr>
            </w:pPr>
            <w:r>
              <w:rPr>
                <w:rFonts w:hint="eastAsia"/>
                <w:sz w:val="24"/>
              </w:rPr>
              <w:t>联系电话</w:t>
            </w:r>
          </w:p>
        </w:tc>
        <w:tc>
          <w:tcPr>
            <w:tcW w:w="3240" w:type="dxa"/>
            <w:gridSpan w:val="3"/>
            <w:vAlign w:val="center"/>
          </w:tcPr>
          <w:p>
            <w:pPr>
              <w:spacing w:line="560" w:lineRule="exact"/>
              <w:jc w:val="center"/>
              <w:rPr>
                <w:sz w:val="24"/>
              </w:rPr>
            </w:pPr>
          </w:p>
        </w:tc>
        <w:tc>
          <w:tcPr>
            <w:tcW w:w="4140" w:type="dxa"/>
            <w:gridSpan w:val="3"/>
            <w:vAlign w:val="center"/>
          </w:tcPr>
          <w:p>
            <w:pPr>
              <w:spacing w:line="560" w:lineRule="exact"/>
              <w:rPr>
                <w:sz w:val="24"/>
              </w:rPr>
            </w:pPr>
            <w:r>
              <w:rPr>
                <w:rFonts w:hint="eastAsia"/>
                <w:sz w:val="24"/>
              </w:rPr>
              <w:t>电子邮箱</w:t>
            </w:r>
          </w:p>
        </w:tc>
      </w:tr>
    </w:tbl>
    <w:p>
      <w:pPr>
        <w:spacing w:line="560" w:lineRule="exact"/>
        <w:rPr>
          <w:sz w:val="28"/>
          <w:szCs w:val="28"/>
        </w:rPr>
      </w:pPr>
    </w:p>
    <w:p>
      <w:pPr>
        <w:spacing w:line="560" w:lineRule="exact"/>
        <w:ind w:firstLine="482" w:firstLineChars="200"/>
        <w:rPr>
          <w:rFonts w:hint="eastAsia" w:eastAsiaTheme="minorEastAsia"/>
          <w:b/>
          <w:sz w:val="24"/>
          <w:lang w:eastAsia="zh-CN"/>
        </w:rPr>
      </w:pPr>
      <w:r>
        <w:rPr>
          <w:rFonts w:hint="eastAsia"/>
          <w:b/>
          <w:sz w:val="24"/>
        </w:rPr>
        <w:t>（二）主要参加者</w:t>
      </w:r>
      <w:r>
        <w:rPr>
          <w:rFonts w:hint="eastAsia"/>
          <w:b/>
          <w:sz w:val="24"/>
          <w:lang w:eastAsia="zh-CN"/>
        </w:rPr>
        <w:t>（</w:t>
      </w:r>
      <w:r>
        <w:rPr>
          <w:rFonts w:hint="eastAsia"/>
          <w:b/>
          <w:sz w:val="24"/>
          <w:lang w:val="en-US" w:eastAsia="zh-CN"/>
        </w:rPr>
        <w:t>可加行</w:t>
      </w:r>
      <w:r>
        <w:rPr>
          <w:rFonts w:hint="eastAsia"/>
          <w:b/>
          <w:sz w:val="24"/>
          <w:lang w:eastAsia="zh-CN"/>
        </w:rPr>
        <w:t>）</w:t>
      </w:r>
    </w:p>
    <w:tbl>
      <w:tblPr>
        <w:tblStyle w:val="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900"/>
        <w:gridCol w:w="1440"/>
        <w:gridCol w:w="1260"/>
        <w:gridCol w:w="1080"/>
        <w:gridCol w:w="34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008" w:type="dxa"/>
            <w:vAlign w:val="center"/>
          </w:tcPr>
          <w:p>
            <w:pPr>
              <w:spacing w:line="560" w:lineRule="exact"/>
              <w:jc w:val="center"/>
              <w:rPr>
                <w:sz w:val="28"/>
                <w:szCs w:val="28"/>
              </w:rPr>
            </w:pPr>
            <w:r>
              <w:rPr>
                <w:rFonts w:hint="eastAsia"/>
                <w:sz w:val="28"/>
                <w:szCs w:val="28"/>
              </w:rPr>
              <w:t>姓名</w:t>
            </w:r>
          </w:p>
        </w:tc>
        <w:tc>
          <w:tcPr>
            <w:tcW w:w="900" w:type="dxa"/>
            <w:vAlign w:val="center"/>
          </w:tcPr>
          <w:p>
            <w:pPr>
              <w:spacing w:line="560" w:lineRule="exact"/>
              <w:jc w:val="center"/>
              <w:rPr>
                <w:sz w:val="28"/>
                <w:szCs w:val="28"/>
              </w:rPr>
            </w:pPr>
            <w:r>
              <w:rPr>
                <w:rFonts w:hint="eastAsia"/>
                <w:sz w:val="28"/>
                <w:szCs w:val="28"/>
              </w:rPr>
              <w:t>性别</w:t>
            </w:r>
          </w:p>
        </w:tc>
        <w:tc>
          <w:tcPr>
            <w:tcW w:w="1440" w:type="dxa"/>
            <w:vAlign w:val="center"/>
          </w:tcPr>
          <w:p>
            <w:pPr>
              <w:spacing w:line="560" w:lineRule="exact"/>
              <w:jc w:val="center"/>
              <w:rPr>
                <w:sz w:val="28"/>
                <w:szCs w:val="28"/>
              </w:rPr>
            </w:pPr>
            <w:r>
              <w:rPr>
                <w:rFonts w:hint="eastAsia"/>
                <w:sz w:val="28"/>
                <w:szCs w:val="28"/>
              </w:rPr>
              <w:t>出生年月</w:t>
            </w:r>
          </w:p>
        </w:tc>
        <w:tc>
          <w:tcPr>
            <w:tcW w:w="1260" w:type="dxa"/>
            <w:vAlign w:val="center"/>
          </w:tcPr>
          <w:p>
            <w:pPr>
              <w:spacing w:line="560" w:lineRule="exact"/>
              <w:jc w:val="center"/>
              <w:rPr>
                <w:sz w:val="28"/>
                <w:szCs w:val="28"/>
              </w:rPr>
            </w:pPr>
            <w:r>
              <w:rPr>
                <w:rFonts w:hint="eastAsia"/>
                <w:sz w:val="28"/>
                <w:szCs w:val="28"/>
              </w:rPr>
              <w:t>职称</w:t>
            </w:r>
          </w:p>
        </w:tc>
        <w:tc>
          <w:tcPr>
            <w:tcW w:w="1080" w:type="dxa"/>
            <w:vAlign w:val="center"/>
          </w:tcPr>
          <w:p>
            <w:pPr>
              <w:spacing w:line="560" w:lineRule="exact"/>
              <w:jc w:val="center"/>
              <w:rPr>
                <w:sz w:val="28"/>
                <w:szCs w:val="28"/>
              </w:rPr>
            </w:pPr>
            <w:r>
              <w:rPr>
                <w:rFonts w:hint="eastAsia"/>
                <w:sz w:val="28"/>
                <w:szCs w:val="28"/>
              </w:rPr>
              <w:t>学历</w:t>
            </w:r>
          </w:p>
        </w:tc>
        <w:tc>
          <w:tcPr>
            <w:tcW w:w="3420" w:type="dxa"/>
            <w:vAlign w:val="center"/>
          </w:tcPr>
          <w:p>
            <w:pPr>
              <w:spacing w:line="560" w:lineRule="exact"/>
              <w:jc w:val="center"/>
              <w:rPr>
                <w:sz w:val="28"/>
                <w:szCs w:val="28"/>
              </w:rPr>
            </w:pPr>
            <w:r>
              <w:rPr>
                <w:rFonts w:hint="eastAsia"/>
                <w:sz w:val="28"/>
                <w:szCs w:val="28"/>
              </w:rPr>
              <w:t>工作单位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008" w:type="dxa"/>
            <w:vAlign w:val="center"/>
          </w:tcPr>
          <w:p>
            <w:pPr>
              <w:spacing w:line="560" w:lineRule="exact"/>
              <w:jc w:val="center"/>
              <w:rPr>
                <w:szCs w:val="21"/>
              </w:rPr>
            </w:pPr>
          </w:p>
        </w:tc>
        <w:tc>
          <w:tcPr>
            <w:tcW w:w="900" w:type="dxa"/>
            <w:vAlign w:val="center"/>
          </w:tcPr>
          <w:p>
            <w:pPr>
              <w:spacing w:line="560" w:lineRule="exact"/>
              <w:jc w:val="center"/>
              <w:rPr>
                <w:szCs w:val="21"/>
              </w:rPr>
            </w:pPr>
          </w:p>
        </w:tc>
        <w:tc>
          <w:tcPr>
            <w:tcW w:w="1440" w:type="dxa"/>
            <w:vAlign w:val="center"/>
          </w:tcPr>
          <w:p>
            <w:pPr>
              <w:spacing w:line="560" w:lineRule="exact"/>
              <w:jc w:val="center"/>
              <w:rPr>
                <w:szCs w:val="21"/>
              </w:rPr>
            </w:pPr>
          </w:p>
        </w:tc>
        <w:tc>
          <w:tcPr>
            <w:tcW w:w="1260" w:type="dxa"/>
            <w:vAlign w:val="center"/>
          </w:tcPr>
          <w:p>
            <w:pPr>
              <w:spacing w:line="560" w:lineRule="exact"/>
              <w:jc w:val="center"/>
              <w:rPr>
                <w:szCs w:val="21"/>
              </w:rPr>
            </w:pPr>
          </w:p>
        </w:tc>
        <w:tc>
          <w:tcPr>
            <w:tcW w:w="1080" w:type="dxa"/>
            <w:vAlign w:val="center"/>
          </w:tcPr>
          <w:p>
            <w:pPr>
              <w:spacing w:line="560" w:lineRule="exact"/>
              <w:jc w:val="center"/>
              <w:rPr>
                <w:szCs w:val="21"/>
              </w:rPr>
            </w:pPr>
          </w:p>
        </w:tc>
        <w:tc>
          <w:tcPr>
            <w:tcW w:w="3420" w:type="dxa"/>
            <w:vAlign w:val="center"/>
          </w:tcPr>
          <w:p>
            <w:pPr>
              <w:spacing w:line="56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1008" w:type="dxa"/>
            <w:vAlign w:val="center"/>
          </w:tcPr>
          <w:p>
            <w:pPr>
              <w:spacing w:line="560" w:lineRule="exact"/>
              <w:jc w:val="center"/>
              <w:rPr>
                <w:szCs w:val="21"/>
              </w:rPr>
            </w:pPr>
          </w:p>
        </w:tc>
        <w:tc>
          <w:tcPr>
            <w:tcW w:w="900" w:type="dxa"/>
            <w:vAlign w:val="center"/>
          </w:tcPr>
          <w:p>
            <w:pPr>
              <w:spacing w:line="560" w:lineRule="exact"/>
              <w:jc w:val="center"/>
              <w:rPr>
                <w:szCs w:val="21"/>
              </w:rPr>
            </w:pPr>
          </w:p>
        </w:tc>
        <w:tc>
          <w:tcPr>
            <w:tcW w:w="1440" w:type="dxa"/>
            <w:vAlign w:val="center"/>
          </w:tcPr>
          <w:p>
            <w:pPr>
              <w:spacing w:line="560" w:lineRule="exact"/>
              <w:rPr>
                <w:szCs w:val="21"/>
              </w:rPr>
            </w:pPr>
          </w:p>
        </w:tc>
        <w:tc>
          <w:tcPr>
            <w:tcW w:w="1260" w:type="dxa"/>
            <w:vAlign w:val="center"/>
          </w:tcPr>
          <w:p>
            <w:pPr>
              <w:spacing w:line="560" w:lineRule="exact"/>
              <w:jc w:val="center"/>
              <w:rPr>
                <w:szCs w:val="21"/>
              </w:rPr>
            </w:pPr>
          </w:p>
        </w:tc>
        <w:tc>
          <w:tcPr>
            <w:tcW w:w="1080" w:type="dxa"/>
            <w:vAlign w:val="center"/>
          </w:tcPr>
          <w:p>
            <w:pPr>
              <w:spacing w:line="560" w:lineRule="exact"/>
              <w:jc w:val="center"/>
              <w:rPr>
                <w:szCs w:val="21"/>
              </w:rPr>
            </w:pPr>
          </w:p>
        </w:tc>
        <w:tc>
          <w:tcPr>
            <w:tcW w:w="3420" w:type="dxa"/>
            <w:vAlign w:val="center"/>
          </w:tcPr>
          <w:p>
            <w:pPr>
              <w:spacing w:line="560" w:lineRule="exact"/>
              <w:jc w:val="center"/>
              <w:rPr>
                <w:szCs w:val="21"/>
              </w:rPr>
            </w:pPr>
          </w:p>
        </w:tc>
      </w:tr>
    </w:tbl>
    <w:p>
      <w:pPr>
        <w:spacing w:line="560" w:lineRule="exact"/>
        <w:ind w:firstLine="555"/>
        <w:rPr>
          <w:b/>
          <w:sz w:val="28"/>
          <w:szCs w:val="28"/>
        </w:rPr>
      </w:pPr>
      <w:r>
        <w:rPr>
          <w:rFonts w:hint="eastAsia"/>
          <w:b/>
          <w:sz w:val="28"/>
          <w:szCs w:val="28"/>
        </w:rPr>
        <w:t>二、负责人与课题组成员已取得的主要研究成果</w:t>
      </w:r>
      <w:r>
        <w:rPr>
          <w:rFonts w:hint="eastAsia"/>
          <w:b/>
          <w:sz w:val="24"/>
          <w:lang w:eastAsia="zh-CN"/>
        </w:rPr>
        <w:t>（</w:t>
      </w:r>
      <w:r>
        <w:rPr>
          <w:rFonts w:hint="eastAsia"/>
          <w:b/>
          <w:sz w:val="24"/>
          <w:lang w:val="en-US" w:eastAsia="zh-CN"/>
        </w:rPr>
        <w:t>可加行</w:t>
      </w:r>
      <w:r>
        <w:rPr>
          <w:rFonts w:hint="eastAsia"/>
          <w:b/>
          <w:sz w:val="24"/>
          <w:lang w:eastAsia="zh-CN"/>
        </w:rPr>
        <w:t>）</w:t>
      </w:r>
    </w:p>
    <w:tbl>
      <w:tblPr>
        <w:tblStyle w:val="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8"/>
        <w:gridCol w:w="900"/>
        <w:gridCol w:w="720"/>
        <w:gridCol w:w="360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trPr>
        <w:tc>
          <w:tcPr>
            <w:tcW w:w="2628" w:type="dxa"/>
            <w:vAlign w:val="center"/>
          </w:tcPr>
          <w:p>
            <w:pPr>
              <w:spacing w:line="300" w:lineRule="exact"/>
              <w:jc w:val="center"/>
              <w:rPr>
                <w:bCs/>
                <w:sz w:val="24"/>
              </w:rPr>
            </w:pPr>
            <w:r>
              <w:rPr>
                <w:rFonts w:hint="eastAsia"/>
                <w:bCs/>
                <w:sz w:val="24"/>
              </w:rPr>
              <w:t>成果名称</w:t>
            </w:r>
          </w:p>
        </w:tc>
        <w:tc>
          <w:tcPr>
            <w:tcW w:w="900" w:type="dxa"/>
            <w:vAlign w:val="center"/>
          </w:tcPr>
          <w:p>
            <w:pPr>
              <w:spacing w:line="300" w:lineRule="exact"/>
              <w:jc w:val="center"/>
              <w:rPr>
                <w:bCs/>
                <w:sz w:val="24"/>
              </w:rPr>
            </w:pPr>
            <w:r>
              <w:rPr>
                <w:rFonts w:hint="eastAsia"/>
                <w:bCs/>
                <w:sz w:val="24"/>
              </w:rPr>
              <w:t>著作者</w:t>
            </w:r>
          </w:p>
        </w:tc>
        <w:tc>
          <w:tcPr>
            <w:tcW w:w="720" w:type="dxa"/>
            <w:vAlign w:val="center"/>
          </w:tcPr>
          <w:p>
            <w:pPr>
              <w:spacing w:line="300" w:lineRule="exact"/>
              <w:jc w:val="center"/>
              <w:rPr>
                <w:bCs/>
                <w:sz w:val="24"/>
              </w:rPr>
            </w:pPr>
            <w:r>
              <w:rPr>
                <w:rFonts w:hint="eastAsia"/>
                <w:bCs/>
                <w:sz w:val="24"/>
              </w:rPr>
              <w:t>成果形式</w:t>
            </w:r>
          </w:p>
        </w:tc>
        <w:tc>
          <w:tcPr>
            <w:tcW w:w="3600" w:type="dxa"/>
            <w:vAlign w:val="center"/>
          </w:tcPr>
          <w:p>
            <w:pPr>
              <w:spacing w:line="300" w:lineRule="exact"/>
              <w:jc w:val="center"/>
              <w:rPr>
                <w:bCs/>
                <w:sz w:val="24"/>
              </w:rPr>
            </w:pPr>
            <w:r>
              <w:rPr>
                <w:rFonts w:hint="eastAsia"/>
                <w:bCs/>
                <w:sz w:val="24"/>
              </w:rPr>
              <w:t>发表刊物或</w:t>
            </w:r>
          </w:p>
          <w:p>
            <w:pPr>
              <w:spacing w:line="300" w:lineRule="exact"/>
              <w:jc w:val="center"/>
              <w:rPr>
                <w:bCs/>
                <w:sz w:val="24"/>
              </w:rPr>
            </w:pPr>
            <w:r>
              <w:rPr>
                <w:rFonts w:hint="eastAsia"/>
                <w:bCs/>
                <w:sz w:val="24"/>
              </w:rPr>
              <w:t>出版单位</w:t>
            </w:r>
          </w:p>
        </w:tc>
        <w:tc>
          <w:tcPr>
            <w:tcW w:w="1260" w:type="dxa"/>
            <w:vAlign w:val="center"/>
          </w:tcPr>
          <w:p>
            <w:pPr>
              <w:spacing w:line="300" w:lineRule="exact"/>
              <w:jc w:val="center"/>
              <w:rPr>
                <w:bCs/>
                <w:sz w:val="24"/>
              </w:rPr>
            </w:pPr>
            <w:r>
              <w:rPr>
                <w:rFonts w:hint="eastAsia"/>
                <w:bCs/>
                <w:sz w:val="24"/>
              </w:rPr>
              <w:t>发表出版</w:t>
            </w:r>
          </w:p>
          <w:p>
            <w:pPr>
              <w:spacing w:line="300" w:lineRule="exact"/>
              <w:jc w:val="center"/>
              <w:rPr>
                <w:bCs/>
                <w:sz w:val="24"/>
              </w:rPr>
            </w:pPr>
            <w:r>
              <w:rPr>
                <w:rFonts w:hint="eastAsia"/>
                <w:bCs/>
                <w:sz w:val="24"/>
              </w:rPr>
              <w:t>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2628" w:type="dxa"/>
            <w:vAlign w:val="center"/>
          </w:tcPr>
          <w:p>
            <w:pPr>
              <w:spacing w:line="300" w:lineRule="exact"/>
              <w:rPr>
                <w:szCs w:val="21"/>
              </w:rPr>
            </w:pPr>
          </w:p>
        </w:tc>
        <w:tc>
          <w:tcPr>
            <w:tcW w:w="900" w:type="dxa"/>
            <w:vAlign w:val="center"/>
          </w:tcPr>
          <w:p>
            <w:pPr>
              <w:spacing w:line="300" w:lineRule="exact"/>
              <w:jc w:val="center"/>
              <w:rPr>
                <w:szCs w:val="21"/>
              </w:rPr>
            </w:pPr>
          </w:p>
        </w:tc>
        <w:tc>
          <w:tcPr>
            <w:tcW w:w="720" w:type="dxa"/>
            <w:vAlign w:val="center"/>
          </w:tcPr>
          <w:p>
            <w:pPr>
              <w:spacing w:line="300" w:lineRule="exact"/>
              <w:jc w:val="center"/>
              <w:rPr>
                <w:szCs w:val="21"/>
              </w:rPr>
            </w:pPr>
          </w:p>
        </w:tc>
        <w:tc>
          <w:tcPr>
            <w:tcW w:w="3600" w:type="dxa"/>
            <w:vAlign w:val="center"/>
          </w:tcPr>
          <w:p>
            <w:pPr>
              <w:spacing w:line="300" w:lineRule="exact"/>
              <w:jc w:val="center"/>
              <w:rPr>
                <w:szCs w:val="21"/>
              </w:rPr>
            </w:pPr>
          </w:p>
        </w:tc>
        <w:tc>
          <w:tcPr>
            <w:tcW w:w="1260" w:type="dxa"/>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2628" w:type="dxa"/>
            <w:vAlign w:val="center"/>
          </w:tcPr>
          <w:p>
            <w:pPr>
              <w:spacing w:line="300" w:lineRule="exact"/>
              <w:rPr>
                <w:szCs w:val="21"/>
              </w:rPr>
            </w:pPr>
          </w:p>
        </w:tc>
        <w:tc>
          <w:tcPr>
            <w:tcW w:w="900" w:type="dxa"/>
            <w:vAlign w:val="center"/>
          </w:tcPr>
          <w:p>
            <w:pPr>
              <w:spacing w:line="300" w:lineRule="exact"/>
              <w:jc w:val="center"/>
              <w:rPr>
                <w:szCs w:val="21"/>
              </w:rPr>
            </w:pPr>
          </w:p>
        </w:tc>
        <w:tc>
          <w:tcPr>
            <w:tcW w:w="720" w:type="dxa"/>
            <w:vAlign w:val="center"/>
          </w:tcPr>
          <w:p>
            <w:pPr>
              <w:spacing w:line="300" w:lineRule="exact"/>
              <w:jc w:val="center"/>
              <w:rPr>
                <w:szCs w:val="21"/>
              </w:rPr>
            </w:pPr>
          </w:p>
        </w:tc>
        <w:tc>
          <w:tcPr>
            <w:tcW w:w="3600" w:type="dxa"/>
            <w:vAlign w:val="center"/>
          </w:tcPr>
          <w:p>
            <w:pPr>
              <w:spacing w:line="300" w:lineRule="exact"/>
              <w:jc w:val="center"/>
              <w:rPr>
                <w:szCs w:val="21"/>
              </w:rPr>
            </w:pPr>
          </w:p>
        </w:tc>
        <w:tc>
          <w:tcPr>
            <w:tcW w:w="1260" w:type="dxa"/>
            <w:vAlign w:val="center"/>
          </w:tcPr>
          <w:p>
            <w:pPr>
              <w:spacing w:line="30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trPr>
        <w:tc>
          <w:tcPr>
            <w:tcW w:w="2628" w:type="dxa"/>
            <w:vAlign w:val="center"/>
          </w:tcPr>
          <w:p>
            <w:pPr>
              <w:spacing w:line="300" w:lineRule="exact"/>
              <w:rPr>
                <w:szCs w:val="21"/>
              </w:rPr>
            </w:pPr>
          </w:p>
        </w:tc>
        <w:tc>
          <w:tcPr>
            <w:tcW w:w="900" w:type="dxa"/>
            <w:vAlign w:val="center"/>
          </w:tcPr>
          <w:p>
            <w:pPr>
              <w:spacing w:line="300" w:lineRule="exact"/>
              <w:jc w:val="center"/>
              <w:rPr>
                <w:szCs w:val="21"/>
              </w:rPr>
            </w:pPr>
          </w:p>
        </w:tc>
        <w:tc>
          <w:tcPr>
            <w:tcW w:w="720" w:type="dxa"/>
            <w:vAlign w:val="center"/>
          </w:tcPr>
          <w:p>
            <w:pPr>
              <w:spacing w:line="300" w:lineRule="exact"/>
              <w:jc w:val="center"/>
              <w:rPr>
                <w:szCs w:val="21"/>
              </w:rPr>
            </w:pPr>
          </w:p>
        </w:tc>
        <w:tc>
          <w:tcPr>
            <w:tcW w:w="3600" w:type="dxa"/>
            <w:vAlign w:val="center"/>
          </w:tcPr>
          <w:p>
            <w:pPr>
              <w:spacing w:line="300" w:lineRule="exact"/>
              <w:jc w:val="center"/>
              <w:rPr>
                <w:szCs w:val="21"/>
              </w:rPr>
            </w:pPr>
          </w:p>
        </w:tc>
        <w:tc>
          <w:tcPr>
            <w:tcW w:w="1260" w:type="dxa"/>
            <w:vAlign w:val="center"/>
          </w:tcPr>
          <w:p>
            <w:pPr>
              <w:spacing w:line="300" w:lineRule="exact"/>
              <w:jc w:val="center"/>
              <w:rPr>
                <w:szCs w:val="21"/>
              </w:rPr>
            </w:pPr>
          </w:p>
        </w:tc>
      </w:tr>
    </w:tbl>
    <w:p>
      <w:pPr>
        <w:spacing w:line="560" w:lineRule="exact"/>
        <w:ind w:firstLine="278" w:firstLineChars="99"/>
        <w:rPr>
          <w:b/>
          <w:sz w:val="28"/>
          <w:szCs w:val="28"/>
        </w:rPr>
      </w:pPr>
      <w:r>
        <w:rPr>
          <w:rFonts w:hint="eastAsia"/>
          <w:b/>
          <w:sz w:val="28"/>
          <w:szCs w:val="28"/>
        </w:rPr>
        <w:t>三、预期研究成果</w:t>
      </w:r>
      <w:r>
        <w:rPr>
          <w:rFonts w:hint="eastAsia"/>
          <w:b/>
          <w:sz w:val="24"/>
          <w:lang w:eastAsia="zh-CN"/>
        </w:rPr>
        <w:t>（</w:t>
      </w:r>
      <w:r>
        <w:rPr>
          <w:rFonts w:hint="eastAsia"/>
          <w:b/>
          <w:sz w:val="24"/>
          <w:lang w:val="en-US" w:eastAsia="zh-CN"/>
        </w:rPr>
        <w:t>可加行</w:t>
      </w:r>
      <w:r>
        <w:rPr>
          <w:rFonts w:hint="eastAsia"/>
          <w:b/>
          <w:sz w:val="24"/>
          <w:lang w:eastAsia="zh-CN"/>
        </w:rPr>
        <w:t>）</w:t>
      </w:r>
    </w:p>
    <w:tbl>
      <w:tblPr>
        <w:tblStyle w:val="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260"/>
        <w:gridCol w:w="4680"/>
        <w:gridCol w:w="1260"/>
        <w:gridCol w:w="1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Align w:val="center"/>
          </w:tcPr>
          <w:p>
            <w:pPr>
              <w:spacing w:line="560" w:lineRule="exact"/>
              <w:jc w:val="center"/>
              <w:rPr>
                <w:bCs/>
                <w:szCs w:val="21"/>
              </w:rPr>
            </w:pPr>
            <w:r>
              <w:rPr>
                <w:rFonts w:hint="eastAsia"/>
                <w:bCs/>
                <w:szCs w:val="21"/>
              </w:rPr>
              <w:t>序号</w:t>
            </w:r>
          </w:p>
        </w:tc>
        <w:tc>
          <w:tcPr>
            <w:tcW w:w="1260" w:type="dxa"/>
            <w:vAlign w:val="center"/>
          </w:tcPr>
          <w:p>
            <w:pPr>
              <w:spacing w:line="560" w:lineRule="exact"/>
              <w:jc w:val="center"/>
              <w:rPr>
                <w:bCs/>
                <w:szCs w:val="21"/>
              </w:rPr>
            </w:pPr>
            <w:r>
              <w:rPr>
                <w:rFonts w:hint="eastAsia"/>
                <w:bCs/>
                <w:szCs w:val="21"/>
              </w:rPr>
              <w:t>完成时间</w:t>
            </w:r>
          </w:p>
        </w:tc>
        <w:tc>
          <w:tcPr>
            <w:tcW w:w="4680" w:type="dxa"/>
            <w:vAlign w:val="center"/>
          </w:tcPr>
          <w:p>
            <w:pPr>
              <w:spacing w:line="560" w:lineRule="exact"/>
              <w:jc w:val="center"/>
              <w:rPr>
                <w:bCs/>
                <w:szCs w:val="21"/>
              </w:rPr>
            </w:pPr>
            <w:r>
              <w:rPr>
                <w:rFonts w:hint="eastAsia"/>
                <w:bCs/>
                <w:szCs w:val="21"/>
              </w:rPr>
              <w:t>成果名称</w:t>
            </w:r>
          </w:p>
        </w:tc>
        <w:tc>
          <w:tcPr>
            <w:tcW w:w="1260" w:type="dxa"/>
            <w:vAlign w:val="center"/>
          </w:tcPr>
          <w:p>
            <w:pPr>
              <w:spacing w:line="560" w:lineRule="exact"/>
              <w:jc w:val="center"/>
              <w:rPr>
                <w:bCs/>
                <w:szCs w:val="21"/>
              </w:rPr>
            </w:pPr>
            <w:r>
              <w:rPr>
                <w:rFonts w:hint="eastAsia"/>
                <w:bCs/>
                <w:szCs w:val="21"/>
              </w:rPr>
              <w:t>成果形式</w:t>
            </w:r>
          </w:p>
        </w:tc>
        <w:tc>
          <w:tcPr>
            <w:tcW w:w="1260" w:type="dxa"/>
            <w:vAlign w:val="center"/>
          </w:tcPr>
          <w:p>
            <w:pPr>
              <w:spacing w:line="560" w:lineRule="exact"/>
              <w:jc w:val="center"/>
              <w:rPr>
                <w:bCs/>
                <w:szCs w:val="21"/>
              </w:rPr>
            </w:pPr>
            <w:r>
              <w:rPr>
                <w:rFonts w:hint="eastAsia"/>
                <w:bCs/>
                <w:szCs w:val="21"/>
              </w:rPr>
              <w:t>承担人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Align w:val="center"/>
          </w:tcPr>
          <w:p>
            <w:pPr>
              <w:spacing w:line="560" w:lineRule="exact"/>
              <w:jc w:val="center"/>
              <w:rPr>
                <w:bCs/>
                <w:szCs w:val="21"/>
              </w:rPr>
            </w:pPr>
            <w:r>
              <w:rPr>
                <w:rFonts w:hint="eastAsia"/>
                <w:bCs/>
                <w:szCs w:val="21"/>
              </w:rPr>
              <w:t>1</w:t>
            </w:r>
          </w:p>
        </w:tc>
        <w:tc>
          <w:tcPr>
            <w:tcW w:w="1260" w:type="dxa"/>
            <w:vAlign w:val="center"/>
          </w:tcPr>
          <w:p>
            <w:pPr>
              <w:spacing w:line="360" w:lineRule="exact"/>
              <w:ind w:right="-107" w:rightChars="-51"/>
              <w:jc w:val="center"/>
              <w:rPr>
                <w:rFonts w:ascii="宋体" w:hAnsi="宋体"/>
                <w:szCs w:val="21"/>
              </w:rPr>
            </w:pPr>
          </w:p>
        </w:tc>
        <w:tc>
          <w:tcPr>
            <w:tcW w:w="4680" w:type="dxa"/>
            <w:vAlign w:val="center"/>
          </w:tcPr>
          <w:p>
            <w:pPr>
              <w:spacing w:line="360" w:lineRule="exact"/>
              <w:ind w:right="-107" w:rightChars="-51"/>
              <w:rPr>
                <w:rFonts w:ascii="宋体" w:hAnsi="宋体"/>
                <w:sz w:val="24"/>
              </w:rPr>
            </w:pPr>
          </w:p>
        </w:tc>
        <w:tc>
          <w:tcPr>
            <w:tcW w:w="1260" w:type="dxa"/>
            <w:vAlign w:val="center"/>
          </w:tcPr>
          <w:p>
            <w:pPr>
              <w:spacing w:line="360" w:lineRule="exact"/>
              <w:ind w:right="-107" w:rightChars="-51"/>
              <w:jc w:val="center"/>
              <w:rPr>
                <w:rFonts w:ascii="宋体" w:hAnsi="宋体"/>
                <w:szCs w:val="21"/>
              </w:rPr>
            </w:pPr>
          </w:p>
        </w:tc>
        <w:tc>
          <w:tcPr>
            <w:tcW w:w="1260" w:type="dxa"/>
            <w:vAlign w:val="center"/>
          </w:tcPr>
          <w:p>
            <w:pPr>
              <w:spacing w:line="360" w:lineRule="exact"/>
              <w:ind w:right="-107" w:rightChars="-51"/>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8" w:type="dxa"/>
            <w:vAlign w:val="center"/>
          </w:tcPr>
          <w:p>
            <w:pPr>
              <w:spacing w:line="560" w:lineRule="exact"/>
              <w:jc w:val="center"/>
              <w:rPr>
                <w:bCs/>
                <w:szCs w:val="21"/>
              </w:rPr>
            </w:pPr>
            <w:r>
              <w:rPr>
                <w:rFonts w:hint="eastAsia"/>
                <w:bCs/>
                <w:szCs w:val="21"/>
              </w:rPr>
              <w:t>2</w:t>
            </w:r>
          </w:p>
        </w:tc>
        <w:tc>
          <w:tcPr>
            <w:tcW w:w="1260" w:type="dxa"/>
            <w:vAlign w:val="center"/>
          </w:tcPr>
          <w:p>
            <w:pPr>
              <w:spacing w:line="360" w:lineRule="exact"/>
              <w:ind w:right="-107" w:rightChars="-51"/>
              <w:jc w:val="center"/>
              <w:rPr>
                <w:rFonts w:ascii="宋体" w:hAnsi="宋体"/>
                <w:szCs w:val="21"/>
              </w:rPr>
            </w:pPr>
          </w:p>
        </w:tc>
        <w:tc>
          <w:tcPr>
            <w:tcW w:w="4680" w:type="dxa"/>
            <w:vAlign w:val="center"/>
          </w:tcPr>
          <w:p>
            <w:pPr>
              <w:spacing w:line="360" w:lineRule="exact"/>
              <w:ind w:right="-107" w:rightChars="-51"/>
              <w:rPr>
                <w:rFonts w:ascii="宋体" w:hAnsi="宋体"/>
                <w:szCs w:val="21"/>
              </w:rPr>
            </w:pPr>
          </w:p>
        </w:tc>
        <w:tc>
          <w:tcPr>
            <w:tcW w:w="1260" w:type="dxa"/>
            <w:vAlign w:val="center"/>
          </w:tcPr>
          <w:p>
            <w:pPr>
              <w:spacing w:line="360" w:lineRule="exact"/>
              <w:ind w:right="-107" w:rightChars="-51"/>
              <w:jc w:val="center"/>
              <w:rPr>
                <w:rFonts w:ascii="宋体" w:hAnsi="宋体"/>
                <w:szCs w:val="21"/>
              </w:rPr>
            </w:pPr>
          </w:p>
        </w:tc>
        <w:tc>
          <w:tcPr>
            <w:tcW w:w="1260" w:type="dxa"/>
            <w:vAlign w:val="center"/>
          </w:tcPr>
          <w:p>
            <w:pPr>
              <w:spacing w:line="360" w:lineRule="exact"/>
              <w:ind w:right="-107" w:rightChars="-51"/>
              <w:jc w:val="center"/>
              <w:rPr>
                <w:rFonts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8" w:type="dxa"/>
            <w:vAlign w:val="center"/>
          </w:tcPr>
          <w:p>
            <w:pPr>
              <w:spacing w:line="560" w:lineRule="exact"/>
              <w:jc w:val="center"/>
              <w:rPr>
                <w:bCs/>
                <w:szCs w:val="21"/>
              </w:rPr>
            </w:pPr>
            <w:r>
              <w:rPr>
                <w:rFonts w:hint="eastAsia"/>
                <w:bCs/>
                <w:szCs w:val="21"/>
              </w:rPr>
              <w:t>3</w:t>
            </w:r>
          </w:p>
        </w:tc>
        <w:tc>
          <w:tcPr>
            <w:tcW w:w="1260" w:type="dxa"/>
            <w:vAlign w:val="center"/>
          </w:tcPr>
          <w:p>
            <w:pPr>
              <w:spacing w:line="360" w:lineRule="exact"/>
              <w:ind w:right="-107" w:rightChars="-51"/>
              <w:jc w:val="center"/>
              <w:rPr>
                <w:rFonts w:ascii="宋体" w:hAnsi="宋体"/>
                <w:szCs w:val="21"/>
              </w:rPr>
            </w:pPr>
          </w:p>
        </w:tc>
        <w:tc>
          <w:tcPr>
            <w:tcW w:w="4680" w:type="dxa"/>
            <w:vAlign w:val="center"/>
          </w:tcPr>
          <w:p>
            <w:pPr>
              <w:spacing w:line="360" w:lineRule="exact"/>
              <w:ind w:right="-107" w:rightChars="-51"/>
              <w:rPr>
                <w:rFonts w:ascii="宋体" w:hAnsi="宋体"/>
                <w:szCs w:val="21"/>
              </w:rPr>
            </w:pPr>
          </w:p>
        </w:tc>
        <w:tc>
          <w:tcPr>
            <w:tcW w:w="1260" w:type="dxa"/>
            <w:vAlign w:val="center"/>
          </w:tcPr>
          <w:p>
            <w:pPr>
              <w:spacing w:line="360" w:lineRule="exact"/>
              <w:ind w:right="-107" w:rightChars="-51"/>
              <w:jc w:val="center"/>
              <w:rPr>
                <w:rFonts w:ascii="宋体" w:hAnsi="宋体"/>
                <w:szCs w:val="21"/>
              </w:rPr>
            </w:pPr>
          </w:p>
        </w:tc>
        <w:tc>
          <w:tcPr>
            <w:tcW w:w="1260" w:type="dxa"/>
            <w:vAlign w:val="center"/>
          </w:tcPr>
          <w:p>
            <w:pPr>
              <w:spacing w:line="360" w:lineRule="exact"/>
              <w:ind w:right="-107" w:rightChars="-51"/>
              <w:jc w:val="center"/>
              <w:rPr>
                <w:rFonts w:ascii="宋体" w:hAnsi="宋体"/>
                <w:szCs w:val="21"/>
              </w:rPr>
            </w:pPr>
          </w:p>
        </w:tc>
      </w:tr>
    </w:tbl>
    <w:p>
      <w:pPr>
        <w:spacing w:line="560" w:lineRule="exact"/>
        <w:ind w:firstLine="555"/>
        <w:rPr>
          <w:b/>
          <w:sz w:val="30"/>
          <w:szCs w:val="30"/>
        </w:rPr>
        <w:sectPr>
          <w:pgSz w:w="11906" w:h="16838"/>
          <w:pgMar w:top="1440" w:right="1800" w:bottom="1440" w:left="1800" w:header="851" w:footer="992" w:gutter="0"/>
          <w:cols w:space="720" w:num="1"/>
          <w:docGrid w:type="lines" w:linePitch="312" w:charSpace="0"/>
        </w:sectPr>
      </w:pPr>
    </w:p>
    <w:p>
      <w:pPr>
        <w:spacing w:line="560" w:lineRule="exact"/>
        <w:ind w:firstLine="555"/>
        <w:rPr>
          <w:b/>
          <w:sz w:val="30"/>
          <w:szCs w:val="30"/>
        </w:rPr>
      </w:pPr>
      <w:r>
        <w:rPr>
          <w:rFonts w:hint="eastAsia"/>
          <w:b/>
          <w:sz w:val="30"/>
          <w:szCs w:val="30"/>
        </w:rPr>
        <w:t>四、课题论证及完成条件</w:t>
      </w:r>
    </w:p>
    <w:tbl>
      <w:tblPr>
        <w:tblStyle w:val="7"/>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916" w:hRule="atLeast"/>
        </w:trPr>
        <w:tc>
          <w:tcPr>
            <w:tcW w:w="9108" w:type="dxa"/>
          </w:tcPr>
          <w:p>
            <w:pPr>
              <w:spacing w:line="360" w:lineRule="exact"/>
              <w:ind w:right="-107" w:rightChars="-51" w:firstLine="422" w:firstLineChars="200"/>
              <w:rPr>
                <w:rFonts w:ascii="宋体" w:hAnsi="宋体"/>
                <w:b/>
                <w:szCs w:val="21"/>
              </w:rPr>
            </w:pPr>
            <w:r>
              <w:rPr>
                <w:rFonts w:hint="eastAsia" w:ascii="宋体" w:hAnsi="宋体"/>
                <w:b/>
                <w:szCs w:val="21"/>
              </w:rPr>
              <w:t>一、 课题提出的背景与意义</w:t>
            </w:r>
          </w:p>
          <w:p>
            <w:pPr>
              <w:spacing w:line="360" w:lineRule="exact"/>
              <w:ind w:right="-107" w:rightChars="-51"/>
              <w:rPr>
                <w:rFonts w:ascii="宋体" w:hAnsi="宋体"/>
                <w:b/>
                <w:szCs w:val="21"/>
              </w:rPr>
            </w:pPr>
          </w:p>
          <w:p>
            <w:pPr>
              <w:spacing w:line="360" w:lineRule="exact"/>
              <w:ind w:right="-107" w:rightChars="-51"/>
              <w:rPr>
                <w:rFonts w:ascii="宋体" w:hAnsi="宋体"/>
                <w:b/>
                <w:szCs w:val="21"/>
              </w:rPr>
            </w:pPr>
          </w:p>
          <w:p>
            <w:pPr>
              <w:spacing w:line="360" w:lineRule="exact"/>
              <w:ind w:right="-107" w:rightChars="-51"/>
              <w:rPr>
                <w:rFonts w:ascii="宋体" w:hAnsi="宋体"/>
                <w:b/>
                <w:szCs w:val="21"/>
              </w:rPr>
            </w:pPr>
          </w:p>
          <w:p>
            <w:pPr>
              <w:spacing w:line="360" w:lineRule="exact"/>
              <w:ind w:right="-107" w:rightChars="-51"/>
              <w:rPr>
                <w:rFonts w:ascii="宋体" w:hAnsi="宋体"/>
                <w:b/>
                <w:szCs w:val="21"/>
              </w:rPr>
            </w:pPr>
          </w:p>
          <w:p>
            <w:pPr>
              <w:spacing w:line="360" w:lineRule="exact"/>
              <w:ind w:right="-107" w:rightChars="-51" w:firstLine="422" w:firstLineChars="200"/>
              <w:rPr>
                <w:rFonts w:ascii="宋体" w:hAnsi="宋体"/>
                <w:b/>
                <w:szCs w:val="21"/>
              </w:rPr>
            </w:pPr>
            <w:r>
              <w:rPr>
                <w:rFonts w:hint="eastAsia" w:ascii="宋体" w:hAnsi="宋体"/>
                <w:b/>
                <w:szCs w:val="21"/>
              </w:rPr>
              <w:t>二、课题界定与研究依据的理论</w:t>
            </w:r>
          </w:p>
          <w:p>
            <w:pPr>
              <w:spacing w:line="360" w:lineRule="exact"/>
              <w:ind w:right="-107" w:rightChars="-51"/>
              <w:rPr>
                <w:rFonts w:ascii="宋体" w:hAnsi="宋体"/>
                <w:szCs w:val="21"/>
              </w:rPr>
            </w:pPr>
          </w:p>
          <w:p>
            <w:pPr>
              <w:spacing w:line="360" w:lineRule="exact"/>
              <w:ind w:right="-107" w:rightChars="-51"/>
              <w:rPr>
                <w:rFonts w:ascii="宋体" w:hAnsi="宋体"/>
                <w:szCs w:val="21"/>
              </w:rPr>
            </w:pPr>
          </w:p>
          <w:p>
            <w:pPr>
              <w:spacing w:line="360" w:lineRule="exact"/>
              <w:ind w:right="-107" w:rightChars="-51"/>
              <w:rPr>
                <w:rFonts w:ascii="宋体" w:hAnsi="宋体"/>
                <w:szCs w:val="21"/>
              </w:rPr>
            </w:pPr>
          </w:p>
          <w:p>
            <w:pPr>
              <w:spacing w:line="360" w:lineRule="exact"/>
              <w:ind w:right="-107" w:rightChars="-51"/>
              <w:rPr>
                <w:rFonts w:ascii="宋体" w:hAnsi="宋体"/>
                <w:b/>
                <w:szCs w:val="21"/>
              </w:rPr>
            </w:pPr>
          </w:p>
          <w:p>
            <w:pPr>
              <w:spacing w:line="360" w:lineRule="exact"/>
              <w:ind w:right="-107" w:rightChars="-51"/>
              <w:rPr>
                <w:rFonts w:ascii="宋体" w:hAnsi="宋体"/>
                <w:b/>
                <w:szCs w:val="21"/>
              </w:rPr>
            </w:pPr>
            <w:r>
              <w:rPr>
                <w:rFonts w:hint="eastAsia" w:ascii="宋体" w:hAnsi="宋体"/>
                <w:b/>
                <w:szCs w:val="21"/>
              </w:rPr>
              <w:t xml:space="preserve">    三、研究的目标、内容、方法</w:t>
            </w:r>
          </w:p>
          <w:p>
            <w:pPr>
              <w:spacing w:line="360" w:lineRule="exact"/>
              <w:ind w:firstLine="420"/>
            </w:pPr>
          </w:p>
          <w:p>
            <w:pPr>
              <w:spacing w:line="360" w:lineRule="exact"/>
            </w:pPr>
          </w:p>
          <w:p>
            <w:pPr>
              <w:spacing w:line="360" w:lineRule="exact"/>
              <w:ind w:firstLine="420"/>
            </w:pPr>
          </w:p>
          <w:p>
            <w:pPr>
              <w:spacing w:line="360" w:lineRule="exact"/>
              <w:ind w:firstLine="420"/>
            </w:pPr>
          </w:p>
          <w:p>
            <w:pPr>
              <w:spacing w:line="360" w:lineRule="exact"/>
              <w:ind w:firstLine="420"/>
              <w:rPr>
                <w:rFonts w:ascii="宋体" w:hAnsi="宋体"/>
                <w:b/>
                <w:szCs w:val="21"/>
              </w:rPr>
            </w:pPr>
            <w:r>
              <w:rPr>
                <w:rFonts w:hint="eastAsia" w:ascii="宋体" w:hAnsi="宋体"/>
                <w:b/>
                <w:szCs w:val="21"/>
              </w:rPr>
              <w:t>四、研究的思路、技术路线</w:t>
            </w:r>
          </w:p>
          <w:p>
            <w:pPr>
              <w:spacing w:line="360" w:lineRule="exact"/>
              <w:ind w:firstLine="420"/>
            </w:pPr>
          </w:p>
          <w:p>
            <w:pPr>
              <w:spacing w:line="360" w:lineRule="exact"/>
            </w:pPr>
          </w:p>
          <w:p>
            <w:pPr>
              <w:spacing w:line="360" w:lineRule="exact"/>
              <w:ind w:firstLine="420"/>
            </w:pPr>
          </w:p>
          <w:p>
            <w:pPr>
              <w:spacing w:line="360" w:lineRule="exact"/>
              <w:ind w:firstLine="420"/>
            </w:pPr>
          </w:p>
          <w:p>
            <w:pPr>
              <w:spacing w:line="360" w:lineRule="exact"/>
              <w:ind w:firstLine="420"/>
              <w:rPr>
                <w:b/>
              </w:rPr>
            </w:pPr>
            <w:r>
              <w:rPr>
                <w:rFonts w:hint="eastAsia"/>
                <w:b/>
              </w:rPr>
              <w:t>五、课题研究的实施步骤</w:t>
            </w:r>
          </w:p>
          <w:p>
            <w:pPr>
              <w:spacing w:line="360" w:lineRule="exact"/>
              <w:ind w:firstLine="420"/>
            </w:pPr>
          </w:p>
          <w:p>
            <w:pPr>
              <w:spacing w:line="360" w:lineRule="exact"/>
              <w:ind w:firstLine="420"/>
            </w:pPr>
          </w:p>
          <w:p>
            <w:pPr>
              <w:spacing w:line="360" w:lineRule="exact"/>
              <w:ind w:firstLine="420"/>
            </w:pPr>
          </w:p>
          <w:p>
            <w:pPr>
              <w:spacing w:line="360" w:lineRule="exact"/>
            </w:pPr>
          </w:p>
          <w:p>
            <w:pPr>
              <w:spacing w:line="360" w:lineRule="exact"/>
              <w:ind w:firstLine="420"/>
            </w:pPr>
          </w:p>
          <w:p>
            <w:pPr>
              <w:spacing w:line="360" w:lineRule="exact"/>
              <w:ind w:firstLine="420"/>
              <w:rPr>
                <w:b/>
              </w:rPr>
            </w:pPr>
            <w:r>
              <w:rPr>
                <w:rFonts w:hint="eastAsia"/>
                <w:b/>
              </w:rPr>
              <w:t>六、预期的研究成果和形式</w:t>
            </w:r>
          </w:p>
          <w:p>
            <w:pPr>
              <w:spacing w:line="360" w:lineRule="exact"/>
              <w:ind w:firstLine="420"/>
            </w:pPr>
          </w:p>
          <w:p>
            <w:pPr>
              <w:spacing w:line="360" w:lineRule="exact"/>
              <w:ind w:firstLine="420"/>
            </w:pPr>
          </w:p>
          <w:p>
            <w:pPr>
              <w:spacing w:line="360" w:lineRule="exact"/>
            </w:pPr>
          </w:p>
          <w:p>
            <w:pPr>
              <w:spacing w:line="360" w:lineRule="exact"/>
              <w:ind w:firstLine="420"/>
            </w:pPr>
          </w:p>
          <w:p>
            <w:pPr>
              <w:spacing w:line="360" w:lineRule="exact"/>
              <w:ind w:firstLine="420"/>
            </w:pPr>
          </w:p>
          <w:p>
            <w:pPr>
              <w:spacing w:line="360" w:lineRule="exact"/>
              <w:ind w:firstLine="420"/>
              <w:rPr>
                <w:b/>
              </w:rPr>
            </w:pPr>
            <w:r>
              <w:rPr>
                <w:rFonts w:hint="eastAsia"/>
                <w:b/>
              </w:rPr>
              <w:t>七、课题研究的保障</w:t>
            </w:r>
          </w:p>
        </w:tc>
      </w:tr>
    </w:tbl>
    <w:p>
      <w:pPr>
        <w:sectPr>
          <w:pgSz w:w="11906" w:h="16838"/>
          <w:pgMar w:top="1440" w:right="1800" w:bottom="1440" w:left="1800" w:header="851" w:footer="992" w:gutter="0"/>
          <w:cols w:space="720" w:num="1"/>
          <w:docGrid w:type="lines" w:linePitch="312" w:charSpace="0"/>
        </w:sectPr>
      </w:pPr>
      <w:r>
        <w:rPr>
          <w:rFonts w:hint="eastAsia"/>
        </w:rPr>
        <w:t>(可添页)</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1" w:hRule="atLeast"/>
        </w:trPr>
        <w:tc>
          <w:tcPr>
            <w:tcW w:w="8522" w:type="dxa"/>
          </w:tcPr>
          <w:p>
            <w:pPr>
              <w:rPr>
                <w:sz w:val="28"/>
                <w:szCs w:val="28"/>
              </w:rPr>
            </w:pPr>
            <w:r>
              <w:rPr>
                <w:rFonts w:hint="eastAsia"/>
                <w:sz w:val="28"/>
                <w:szCs w:val="28"/>
              </w:rPr>
              <w:t>负责人所在单位意见：</w:t>
            </w:r>
          </w:p>
          <w:p>
            <w:pPr>
              <w:rPr>
                <w:sz w:val="28"/>
                <w:szCs w:val="28"/>
              </w:rPr>
            </w:pPr>
          </w:p>
          <w:p>
            <w:pPr>
              <w:rPr>
                <w:sz w:val="28"/>
                <w:szCs w:val="28"/>
              </w:rPr>
            </w:pPr>
          </w:p>
          <w:p>
            <w:pPr>
              <w:rPr>
                <w:sz w:val="28"/>
                <w:szCs w:val="28"/>
              </w:rPr>
            </w:pPr>
          </w:p>
          <w:p>
            <w:pPr>
              <w:rPr>
                <w:sz w:val="28"/>
                <w:szCs w:val="28"/>
              </w:rPr>
            </w:pPr>
            <w:r>
              <w:rPr>
                <w:rFonts w:hint="eastAsia"/>
                <w:sz w:val="28"/>
                <w:szCs w:val="28"/>
              </w:rPr>
              <w:t>单位领导签字：公章</w:t>
            </w:r>
          </w:p>
          <w:p>
            <w:pPr>
              <w:ind w:firstLine="5880" w:firstLineChars="2100"/>
              <w:rPr>
                <w:sz w:val="28"/>
                <w:szCs w:val="28"/>
              </w:rPr>
            </w:pPr>
            <w:r>
              <w:rPr>
                <w:rFonts w:hint="eastAsia"/>
                <w:sz w:val="28"/>
                <w:szCs w:val="28"/>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1" w:hRule="atLeast"/>
        </w:trPr>
        <w:tc>
          <w:tcPr>
            <w:tcW w:w="8522" w:type="dxa"/>
          </w:tcPr>
          <w:p>
            <w:pPr>
              <w:rPr>
                <w:sz w:val="28"/>
                <w:szCs w:val="28"/>
              </w:rPr>
            </w:pPr>
            <w:r>
              <w:rPr>
                <w:rFonts w:hint="eastAsia"/>
                <w:sz w:val="28"/>
                <w:szCs w:val="28"/>
              </w:rPr>
              <w:t>评审组审批意见：</w:t>
            </w:r>
          </w:p>
          <w:p>
            <w:pPr>
              <w:rPr>
                <w:sz w:val="28"/>
                <w:szCs w:val="28"/>
              </w:rPr>
            </w:pPr>
          </w:p>
          <w:p>
            <w:pPr>
              <w:rPr>
                <w:sz w:val="28"/>
                <w:szCs w:val="28"/>
              </w:rPr>
            </w:pPr>
          </w:p>
          <w:p>
            <w:pPr>
              <w:rPr>
                <w:sz w:val="28"/>
                <w:szCs w:val="28"/>
              </w:rPr>
            </w:pPr>
            <w:r>
              <w:rPr>
                <w:rFonts w:hint="eastAsia"/>
                <w:sz w:val="28"/>
                <w:szCs w:val="28"/>
              </w:rPr>
              <w:t>组长签名:</w:t>
            </w:r>
          </w:p>
          <w:p>
            <w:pPr>
              <w:rPr>
                <w:sz w:val="28"/>
                <w:szCs w:val="28"/>
              </w:rPr>
            </w:pPr>
          </w:p>
          <w:p>
            <w:pPr>
              <w:rPr>
                <w:sz w:val="28"/>
                <w:szCs w:val="28"/>
              </w:rPr>
            </w:pPr>
            <w:r>
              <w:rPr>
                <w:rFonts w:hint="eastAsia"/>
                <w:sz w:val="28"/>
                <w:szCs w:val="28"/>
              </w:rPr>
              <w:t>省学会负责人签字：公章</w:t>
            </w:r>
          </w:p>
          <w:p>
            <w:pPr>
              <w:ind w:firstLine="5880" w:firstLineChars="2100"/>
              <w:rPr>
                <w:sz w:val="28"/>
                <w:szCs w:val="28"/>
              </w:rPr>
            </w:pPr>
            <w:r>
              <w:rPr>
                <w:rFonts w:hint="eastAsia"/>
                <w:sz w:val="28"/>
                <w:szCs w:val="28"/>
              </w:rPr>
              <w:t>年 月 日</w:t>
            </w:r>
          </w:p>
        </w:tc>
      </w:tr>
    </w:tbl>
    <w:p/>
    <w:p/>
    <w:p/>
    <w:p/>
    <w:p/>
    <w:p/>
    <w:p/>
    <w:p/>
    <w:p/>
    <w:p/>
    <w:p/>
    <w:p/>
    <w:p/>
    <w:p>
      <w:pPr>
        <w:jc w:val="both"/>
        <w:rPr>
          <w:rFonts w:hint="eastAsia"/>
          <w:b/>
          <w:sz w:val="32"/>
          <w:szCs w:val="32"/>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124"/>
    <w:rsid w:val="00034486"/>
    <w:rsid w:val="00045820"/>
    <w:rsid w:val="00077836"/>
    <w:rsid w:val="000C20BB"/>
    <w:rsid w:val="000F2544"/>
    <w:rsid w:val="001C01CE"/>
    <w:rsid w:val="0022376D"/>
    <w:rsid w:val="00225AA7"/>
    <w:rsid w:val="002A3379"/>
    <w:rsid w:val="002C6364"/>
    <w:rsid w:val="003448F6"/>
    <w:rsid w:val="00404962"/>
    <w:rsid w:val="00424B43"/>
    <w:rsid w:val="004258B6"/>
    <w:rsid w:val="00442B69"/>
    <w:rsid w:val="00450335"/>
    <w:rsid w:val="00474F54"/>
    <w:rsid w:val="00492E5C"/>
    <w:rsid w:val="004A2930"/>
    <w:rsid w:val="004B55D2"/>
    <w:rsid w:val="0053331E"/>
    <w:rsid w:val="005477F3"/>
    <w:rsid w:val="00551ADD"/>
    <w:rsid w:val="0055247D"/>
    <w:rsid w:val="005707EF"/>
    <w:rsid w:val="0063551D"/>
    <w:rsid w:val="00644914"/>
    <w:rsid w:val="006455EC"/>
    <w:rsid w:val="00657D67"/>
    <w:rsid w:val="00660CB1"/>
    <w:rsid w:val="006A4B36"/>
    <w:rsid w:val="006F6F32"/>
    <w:rsid w:val="00734E59"/>
    <w:rsid w:val="00745F52"/>
    <w:rsid w:val="007640B5"/>
    <w:rsid w:val="007704E4"/>
    <w:rsid w:val="007764FA"/>
    <w:rsid w:val="00783346"/>
    <w:rsid w:val="00790337"/>
    <w:rsid w:val="007905E2"/>
    <w:rsid w:val="007A3185"/>
    <w:rsid w:val="007B718A"/>
    <w:rsid w:val="00801222"/>
    <w:rsid w:val="00810B7B"/>
    <w:rsid w:val="008B3B74"/>
    <w:rsid w:val="008D6917"/>
    <w:rsid w:val="0094178A"/>
    <w:rsid w:val="00951A99"/>
    <w:rsid w:val="00957080"/>
    <w:rsid w:val="009A0B5A"/>
    <w:rsid w:val="009E2E41"/>
    <w:rsid w:val="00A253CE"/>
    <w:rsid w:val="00A45563"/>
    <w:rsid w:val="00A51B62"/>
    <w:rsid w:val="00A8733C"/>
    <w:rsid w:val="00A9013B"/>
    <w:rsid w:val="00A96404"/>
    <w:rsid w:val="00AB75E0"/>
    <w:rsid w:val="00AD465C"/>
    <w:rsid w:val="00AD4F4F"/>
    <w:rsid w:val="00B2187E"/>
    <w:rsid w:val="00B225AE"/>
    <w:rsid w:val="00BE0EFC"/>
    <w:rsid w:val="00C16AA9"/>
    <w:rsid w:val="00C2129A"/>
    <w:rsid w:val="00C336BE"/>
    <w:rsid w:val="00C34124"/>
    <w:rsid w:val="00C44F48"/>
    <w:rsid w:val="00C56292"/>
    <w:rsid w:val="00C74287"/>
    <w:rsid w:val="00CA319D"/>
    <w:rsid w:val="00CB07FB"/>
    <w:rsid w:val="00CC458F"/>
    <w:rsid w:val="00D105BF"/>
    <w:rsid w:val="00D119CE"/>
    <w:rsid w:val="00D2675B"/>
    <w:rsid w:val="00D4226B"/>
    <w:rsid w:val="00D61074"/>
    <w:rsid w:val="00D6440D"/>
    <w:rsid w:val="00D72760"/>
    <w:rsid w:val="00D76BCA"/>
    <w:rsid w:val="00D9709D"/>
    <w:rsid w:val="00E07B90"/>
    <w:rsid w:val="00E601B4"/>
    <w:rsid w:val="00E63931"/>
    <w:rsid w:val="00E858A0"/>
    <w:rsid w:val="00EB47AC"/>
    <w:rsid w:val="00ED1141"/>
    <w:rsid w:val="00F43A3C"/>
    <w:rsid w:val="00F625EA"/>
    <w:rsid w:val="00F6276B"/>
    <w:rsid w:val="00F84079"/>
    <w:rsid w:val="00F92BB3"/>
    <w:rsid w:val="00FA53EB"/>
    <w:rsid w:val="039549A3"/>
    <w:rsid w:val="0CCA34B3"/>
    <w:rsid w:val="11073EE9"/>
    <w:rsid w:val="17B45CEA"/>
    <w:rsid w:val="1BA15FAB"/>
    <w:rsid w:val="21C65291"/>
    <w:rsid w:val="232B60D0"/>
    <w:rsid w:val="260112DC"/>
    <w:rsid w:val="27317E1F"/>
    <w:rsid w:val="2D782F86"/>
    <w:rsid w:val="32843B99"/>
    <w:rsid w:val="37D879A5"/>
    <w:rsid w:val="390C1A4B"/>
    <w:rsid w:val="393408E8"/>
    <w:rsid w:val="3E7439D5"/>
    <w:rsid w:val="5225183F"/>
    <w:rsid w:val="54066758"/>
    <w:rsid w:val="5D072013"/>
    <w:rsid w:val="5FB7432D"/>
    <w:rsid w:val="65B96EA0"/>
    <w:rsid w:val="6983765D"/>
    <w:rsid w:val="6A6705F9"/>
    <w:rsid w:val="6D59761A"/>
    <w:rsid w:val="6EEE3C49"/>
    <w:rsid w:val="740414BE"/>
    <w:rsid w:val="760F0727"/>
    <w:rsid w:val="78EE27FD"/>
    <w:rsid w:val="7D7D391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0"/>
    <w:pPr>
      <w:ind w:firstLine="420" w:firstLineChars="100"/>
    </w:pPr>
  </w:style>
  <w:style w:type="paragraph" w:styleId="3">
    <w:name w:val="Body Text"/>
    <w:basedOn w:val="1"/>
    <w:semiHidden/>
    <w:unhideWhenUsed/>
    <w:qFormat/>
    <w:uiPriority w:val="99"/>
    <w:pPr>
      <w:spacing w:after="120"/>
    </w:p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9">
    <w:name w:val="Strong"/>
    <w:basedOn w:val="8"/>
    <w:qFormat/>
    <w:uiPriority w:val="0"/>
    <w:rPr>
      <w:b/>
      <w:bCs/>
    </w:rPr>
  </w:style>
  <w:style w:type="character" w:styleId="10">
    <w:name w:val="Hyperlink"/>
    <w:basedOn w:val="8"/>
    <w:unhideWhenUsed/>
    <w:qFormat/>
    <w:uiPriority w:val="99"/>
    <w:rPr>
      <w:color w:val="0000FF" w:themeColor="hyperlink"/>
      <w:u w:val="single"/>
      <w14:textFill>
        <w14:solidFill>
          <w14:schemeClr w14:val="hlink"/>
        </w14:solidFill>
      </w14:textFill>
    </w:rPr>
  </w:style>
  <w:style w:type="character" w:customStyle="1" w:styleId="11">
    <w:name w:val="页眉 字符"/>
    <w:basedOn w:val="8"/>
    <w:link w:val="5"/>
    <w:qFormat/>
    <w:uiPriority w:val="99"/>
    <w:rPr>
      <w:sz w:val="18"/>
      <w:szCs w:val="18"/>
    </w:rPr>
  </w:style>
  <w:style w:type="character" w:customStyle="1" w:styleId="12">
    <w:name w:val="页脚 字符"/>
    <w:basedOn w:val="8"/>
    <w:link w:val="4"/>
    <w:qFormat/>
    <w:uiPriority w:val="99"/>
    <w:rPr>
      <w:sz w:val="18"/>
      <w:szCs w:val="18"/>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21</Pages>
  <Words>1228</Words>
  <Characters>7001</Characters>
  <Lines>58</Lines>
  <Paragraphs>16</Paragraphs>
  <TotalTime>1</TotalTime>
  <ScaleCrop>false</ScaleCrop>
  <LinksUpToDate>false</LinksUpToDate>
  <CharactersWithSpaces>8213</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2019-03-13T01:46:00Z</dcterms:created>
  <dc:creator>Microsoft</dc:creator>
  <cp:lastModifiedBy>伊柔妈妈</cp:lastModifiedBy>
  <cp:lastPrinted>2021-10-18T03:46:00Z</cp:lastPrinted>
  <dcterms:modified xsi:type="dcterms:W3CDTF">2021-12-23T07:11:20Z</dcterms:modified>
  <cp:revision>52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F14EA658EB934A01930FA6B75FA4C88C</vt:lpwstr>
  </property>
</Properties>
</file>